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912" w:rsidRDefault="00F73912">
      <w:pPr>
        <w:rPr>
          <w: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485"/>
      </w:tblGrid>
      <w:tr w:rsidR="00A81D7F" w:rsidRPr="006E2513" w:rsidTr="00C809F5">
        <w:tc>
          <w:tcPr>
            <w:tcW w:w="4322" w:type="dxa"/>
          </w:tcPr>
          <w:p w:rsidR="00A81D7F" w:rsidRPr="006E2513" w:rsidRDefault="00A81D7F" w:rsidP="00C809F5">
            <w:pPr>
              <w:pStyle w:val="Ttulo"/>
              <w:rPr>
                <w:rFonts w:asciiTheme="minorHAnsi" w:eastAsia="SimSun" w:hAnsiTheme="minorHAnsi" w:cstheme="minorHAnsi"/>
                <w:b/>
                <w:color w:val="000000" w:themeColor="text1"/>
                <w:szCs w:val="32"/>
              </w:rPr>
            </w:pPr>
            <w:r>
              <w:object w:dxaOrig="3120" w:dyaOrig="3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15pt;height:198.2pt" o:ole="">
                  <v:imagedata r:id="rId7" o:title=""/>
                </v:shape>
                <o:OLEObject Type="Embed" ProgID="PBrush" ShapeID="_x0000_i1025" DrawAspect="Content" ObjectID="_1440936625" r:id="rId8"/>
              </w:object>
            </w:r>
          </w:p>
        </w:tc>
        <w:tc>
          <w:tcPr>
            <w:tcW w:w="4322" w:type="dxa"/>
          </w:tcPr>
          <w:p w:rsidR="00A81D7F" w:rsidRDefault="00A81D7F" w:rsidP="00C809F5">
            <w:pPr>
              <w:pStyle w:val="Ttulo"/>
              <w:rPr>
                <w:rFonts w:asciiTheme="minorHAnsi" w:eastAsia="SimSun" w:hAnsiTheme="minorHAnsi" w:cstheme="minorHAnsi"/>
                <w:b/>
                <w:noProof/>
                <w:color w:val="000000" w:themeColor="text1"/>
                <w:szCs w:val="32"/>
                <w:lang w:eastAsia="es-CR"/>
              </w:rPr>
            </w:pPr>
          </w:p>
          <w:p w:rsidR="00A81D7F" w:rsidRDefault="00A81D7F" w:rsidP="00C809F5">
            <w:pPr>
              <w:pStyle w:val="Ttulo"/>
              <w:rPr>
                <w:rFonts w:asciiTheme="minorHAnsi" w:eastAsia="SimSun" w:hAnsiTheme="minorHAnsi" w:cstheme="minorHAnsi"/>
                <w:b/>
                <w:noProof/>
                <w:color w:val="000000" w:themeColor="text1"/>
                <w:szCs w:val="32"/>
                <w:lang w:eastAsia="es-CR"/>
              </w:rPr>
            </w:pPr>
          </w:p>
          <w:p w:rsidR="00A81D7F" w:rsidRDefault="00A81D7F" w:rsidP="00C809F5">
            <w:pPr>
              <w:pStyle w:val="Ttulo"/>
              <w:rPr>
                <w:rFonts w:asciiTheme="minorHAnsi" w:eastAsia="SimSun" w:hAnsiTheme="minorHAnsi" w:cstheme="minorHAnsi"/>
                <w:b/>
                <w:noProof/>
                <w:color w:val="000000" w:themeColor="text1"/>
                <w:szCs w:val="32"/>
                <w:lang w:eastAsia="es-CR"/>
              </w:rPr>
            </w:pPr>
          </w:p>
          <w:p w:rsidR="00A81D7F" w:rsidRDefault="00A81D7F" w:rsidP="00C809F5">
            <w:pPr>
              <w:pStyle w:val="Ttulo"/>
              <w:rPr>
                <w:rFonts w:asciiTheme="minorHAnsi" w:eastAsia="SimSun" w:hAnsiTheme="minorHAnsi" w:cstheme="minorHAnsi"/>
                <w:b/>
                <w:color w:val="000000" w:themeColor="text1"/>
                <w:szCs w:val="32"/>
              </w:rPr>
            </w:pPr>
            <w:r w:rsidRPr="006E2513">
              <w:rPr>
                <w:rFonts w:asciiTheme="minorHAnsi" w:eastAsia="SimSun" w:hAnsiTheme="minorHAnsi" w:cstheme="minorHAnsi"/>
                <w:b/>
                <w:noProof/>
                <w:color w:val="000000" w:themeColor="text1"/>
                <w:szCs w:val="32"/>
                <w:lang w:eastAsia="es-CR"/>
              </w:rPr>
              <w:drawing>
                <wp:inline distT="0" distB="0" distL="0" distR="0">
                  <wp:extent cx="2691855" cy="1083365"/>
                  <wp:effectExtent l="19050" t="0" r="0" b="0"/>
                  <wp:docPr id="195" name="Imagen 2" descr="Logo IJL compl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IJL completo"/>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691855" cy="1083365"/>
                          </a:xfrm>
                          <a:prstGeom prst="rect">
                            <a:avLst/>
                          </a:prstGeom>
                          <a:noFill/>
                        </pic:spPr>
                      </pic:pic>
                    </a:graphicData>
                  </a:graphic>
                </wp:inline>
              </w:drawing>
            </w:r>
          </w:p>
          <w:p w:rsidR="00A81D7F" w:rsidRPr="006E2513" w:rsidRDefault="00A81D7F" w:rsidP="00C809F5">
            <w:pPr>
              <w:pStyle w:val="Ttulo"/>
              <w:rPr>
                <w:rFonts w:asciiTheme="minorHAnsi" w:eastAsia="SimSun" w:hAnsiTheme="minorHAnsi" w:cstheme="minorHAnsi"/>
                <w:b/>
                <w:color w:val="000000" w:themeColor="text1"/>
                <w:szCs w:val="32"/>
              </w:rPr>
            </w:pPr>
          </w:p>
        </w:tc>
      </w:tr>
    </w:tbl>
    <w:p w:rsidR="00A81D7F" w:rsidRPr="006E2513" w:rsidRDefault="00A81D7F" w:rsidP="00A81D7F">
      <w:pPr>
        <w:pStyle w:val="Ttulo"/>
        <w:rPr>
          <w:rFonts w:asciiTheme="minorHAnsi" w:eastAsia="SimSun" w:hAnsiTheme="minorHAnsi" w:cstheme="minorHAnsi"/>
          <w:b/>
          <w:color w:val="000000" w:themeColor="text1"/>
          <w:szCs w:val="32"/>
        </w:rPr>
      </w:pPr>
    </w:p>
    <w:p w:rsidR="00A81D7F" w:rsidRPr="006E2513" w:rsidRDefault="00A81D7F" w:rsidP="00A81D7F">
      <w:pPr>
        <w:pStyle w:val="Ttulo"/>
        <w:rPr>
          <w:rFonts w:asciiTheme="minorHAnsi" w:eastAsia="SimSun" w:hAnsiTheme="minorHAnsi" w:cstheme="minorHAnsi"/>
          <w:b/>
          <w:color w:val="000000" w:themeColor="text1"/>
          <w:szCs w:val="32"/>
        </w:rPr>
      </w:pPr>
    </w:p>
    <w:p w:rsidR="00A81D7F" w:rsidRDefault="00A81D7F" w:rsidP="00A81D7F">
      <w:pPr>
        <w:rPr>
          <w:rFonts w:eastAsia="SimSun" w:cstheme="minorHAnsi"/>
          <w:b/>
          <w:i/>
          <w:color w:val="000000" w:themeColor="text1"/>
          <w:sz w:val="36"/>
          <w:szCs w:val="36"/>
        </w:rPr>
      </w:pPr>
      <w:r>
        <w:rPr>
          <w:rFonts w:eastAsia="SimSun" w:cstheme="minorHAnsi"/>
          <w:b/>
          <w:smallCaps/>
          <w:noProof/>
          <w:color w:val="000000" w:themeColor="text1"/>
          <w:sz w:val="32"/>
          <w:szCs w:val="32"/>
          <w:lang w:val="es-CR" w:eastAsia="es-CR"/>
        </w:rPr>
        <w:drawing>
          <wp:inline distT="0" distB="0" distL="0" distR="0">
            <wp:extent cx="5397500" cy="2794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7500" cy="2794000"/>
                    </a:xfrm>
                    <a:prstGeom prst="rect">
                      <a:avLst/>
                    </a:prstGeom>
                    <a:noFill/>
                    <a:ln>
                      <a:noFill/>
                    </a:ln>
                  </pic:spPr>
                </pic:pic>
              </a:graphicData>
            </a:graphic>
          </wp:inline>
        </w:drawing>
      </w:r>
    </w:p>
    <w:p w:rsidR="00A81D7F" w:rsidRPr="00AC3221" w:rsidRDefault="00222A5C" w:rsidP="00A81D7F">
      <w:pPr>
        <w:jc w:val="center"/>
        <w:rPr>
          <w:rFonts w:eastAsia="SimSun" w:cstheme="minorHAnsi"/>
          <w:b/>
          <w:i/>
          <w:color w:val="000000" w:themeColor="text1"/>
          <w:sz w:val="32"/>
          <w:szCs w:val="32"/>
        </w:rPr>
      </w:pPr>
      <w:r>
        <w:rPr>
          <w:rFonts w:eastAsia="SimSun" w:cstheme="minorHAnsi"/>
          <w:b/>
          <w:i/>
          <w:color w:val="000000" w:themeColor="text1"/>
          <w:sz w:val="32"/>
          <w:szCs w:val="32"/>
        </w:rPr>
        <w:t xml:space="preserve">L-278-CFP-V1 </w:t>
      </w:r>
      <w:r w:rsidR="00A81D7F">
        <w:rPr>
          <w:rFonts w:eastAsia="SimSun" w:cstheme="minorHAnsi"/>
          <w:b/>
          <w:i/>
          <w:color w:val="000000" w:themeColor="text1"/>
          <w:sz w:val="32"/>
          <w:szCs w:val="32"/>
        </w:rPr>
        <w:t>Corrección del factor de potencia.</w:t>
      </w:r>
    </w:p>
    <w:p w:rsidR="00A81D7F" w:rsidRDefault="00A81D7F" w:rsidP="00A81D7F">
      <w:pPr>
        <w:autoSpaceDE w:val="0"/>
        <w:autoSpaceDN w:val="0"/>
        <w:adjustRightInd w:val="0"/>
        <w:spacing w:after="0" w:line="240" w:lineRule="auto"/>
        <w:jc w:val="center"/>
        <w:rPr>
          <w:rFonts w:eastAsia="SimSun" w:cstheme="minorHAnsi"/>
          <w:b/>
          <w:i/>
          <w:color w:val="000000" w:themeColor="text1"/>
          <w:sz w:val="32"/>
          <w:szCs w:val="32"/>
        </w:rPr>
      </w:pPr>
    </w:p>
    <w:p w:rsidR="00A81D7F" w:rsidRDefault="00A81D7F" w:rsidP="00A81D7F">
      <w:pPr>
        <w:autoSpaceDE w:val="0"/>
        <w:autoSpaceDN w:val="0"/>
        <w:adjustRightInd w:val="0"/>
        <w:spacing w:after="0" w:line="240" w:lineRule="auto"/>
        <w:jc w:val="center"/>
        <w:rPr>
          <w:rFonts w:eastAsiaTheme="majorEastAsia" w:cstheme="minorHAnsi"/>
          <w:b/>
          <w:bCs/>
          <w:color w:val="365F91" w:themeColor="accent1" w:themeShade="BF"/>
          <w:sz w:val="28"/>
          <w:szCs w:val="28"/>
        </w:rPr>
      </w:pPr>
      <w:r w:rsidRPr="00AC3221">
        <w:rPr>
          <w:rFonts w:eastAsia="SimSun" w:cstheme="minorHAnsi"/>
          <w:b/>
          <w:i/>
          <w:color w:val="000000" w:themeColor="text1"/>
          <w:sz w:val="32"/>
          <w:szCs w:val="32"/>
        </w:rPr>
        <w:t>Mayo- Junio 2013</w:t>
      </w: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Pr="008D6D44" w:rsidRDefault="00A81D7F" w:rsidP="00A81D7F">
      <w:pPr>
        <w:pStyle w:val="Ttulo1"/>
        <w:spacing w:line="276" w:lineRule="auto"/>
        <w:jc w:val="left"/>
        <w:rPr>
          <w:lang w:val="es-CR" w:eastAsia="es-CR"/>
        </w:rPr>
      </w:pPr>
      <w:r>
        <w:rPr>
          <w:lang w:val="es-CR" w:eastAsia="es-CR"/>
        </w:rPr>
        <w:t>Corrección del factor de potencia.</w:t>
      </w:r>
    </w:p>
    <w:p w:rsidR="00765CC4" w:rsidRDefault="00765CC4"/>
    <w:p w:rsidR="00FA386A" w:rsidRPr="00FA386A" w:rsidRDefault="00FA386A">
      <w:r w:rsidRPr="00FA386A">
        <w:t>La siguiente figura muestra el triangulo de potencias.</w:t>
      </w:r>
    </w:p>
    <w:p w:rsidR="00FA7F25" w:rsidRDefault="00FA7F25" w:rsidP="00FA386A">
      <w:pPr>
        <w:jc w:val="center"/>
      </w:pPr>
      <w:r>
        <w:rPr>
          <w:noProof/>
          <w:lang w:val="es-CR" w:eastAsia="es-CR"/>
        </w:rPr>
        <w:drawing>
          <wp:inline distT="0" distB="0" distL="0" distR="0">
            <wp:extent cx="3328670" cy="2301240"/>
            <wp:effectExtent l="1905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328670" cy="2301240"/>
                    </a:xfrm>
                    <a:prstGeom prst="rect">
                      <a:avLst/>
                    </a:prstGeom>
                    <a:noFill/>
                    <a:ln w="9525">
                      <a:noFill/>
                      <a:miter lim="800000"/>
                      <a:headEnd/>
                      <a:tailEnd/>
                    </a:ln>
                  </pic:spPr>
                </pic:pic>
              </a:graphicData>
            </a:graphic>
          </wp:inline>
        </w:drawing>
      </w:r>
    </w:p>
    <w:p w:rsidR="00FA386A" w:rsidRDefault="00FA386A" w:rsidP="00FA386A">
      <w:pPr>
        <w:pStyle w:val="Epgrafe"/>
        <w:jc w:val="center"/>
      </w:pPr>
      <w:r>
        <w:t xml:space="preserve">Figura 10. </w:t>
      </w:r>
      <w:fldSimple w:instr=" SEQ Figura_10. \* ARABIC ">
        <w:r w:rsidR="00C809F5">
          <w:rPr>
            <w:noProof/>
          </w:rPr>
          <w:t>1</w:t>
        </w:r>
      </w:fldSimple>
      <w:r>
        <w:t xml:space="preserve"> Triangulo de factor de potencia.</w:t>
      </w:r>
    </w:p>
    <w:p w:rsidR="00F02AAD" w:rsidRDefault="00F02AAD">
      <w:r>
        <w:t>Del triangulo de potencias se establece la siguiente relación:</w:t>
      </w:r>
    </w:p>
    <w:p w:rsidR="00F02AAD" w:rsidRDefault="00F02AAD" w:rsidP="00FA386A">
      <w:pPr>
        <w:jc w:val="right"/>
      </w:pPr>
      <m:oMath>
        <m:r>
          <w:rPr>
            <w:rFonts w:ascii="Cambria Math" w:hAnsi="Cambria Math"/>
          </w:rPr>
          <m:t>S=</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Q</m:t>
                </m:r>
              </m:e>
              <m:sup>
                <m:r>
                  <w:rPr>
                    <w:rFonts w:ascii="Cambria Math" w:hAnsi="Cambria Math"/>
                  </w:rPr>
                  <m:t>2</m:t>
                </m:r>
              </m:sup>
            </m:sSup>
          </m:e>
        </m:rad>
      </m:oMath>
      <w:r w:rsidR="00FA386A">
        <w:rPr>
          <w:rFonts w:eastAsiaTheme="minorEastAsia"/>
        </w:rPr>
        <w:t xml:space="preserve">                                                                   10.1</w:t>
      </w:r>
    </w:p>
    <w:p w:rsidR="00103DA4" w:rsidRPr="00F02AAD" w:rsidRDefault="00103DA4">
      <w:pPr>
        <w:rPr>
          <w:b/>
        </w:rPr>
      </w:pPr>
      <w:r w:rsidRPr="00F02AAD">
        <w:rPr>
          <w:b/>
        </w:rPr>
        <w:t>El factor de potencia:</w:t>
      </w:r>
    </w:p>
    <w:p w:rsidR="00B3695B" w:rsidRDefault="008A289D">
      <w:r>
        <w:t>Es el nombre</w:t>
      </w:r>
      <w:r w:rsidR="00103DA4">
        <w:t xml:space="preserve"> dado a la relación entre </w:t>
      </w:r>
      <w:r>
        <w:t xml:space="preserve">de la potencia activa (kW) y la potencia aparente (kVA). </w:t>
      </w:r>
    </w:p>
    <w:p w:rsidR="00FA7F25" w:rsidRDefault="00FA7F25" w:rsidP="00FA386A">
      <w:pPr>
        <w:jc w:val="right"/>
      </w:pPr>
      <m:oMath>
        <m:r>
          <w:rPr>
            <w:rFonts w:ascii="Cambria Math" w:hAnsi="Cambria Math"/>
          </w:rPr>
          <m:t>F.P.=</m:t>
        </m:r>
        <m:f>
          <m:fPr>
            <m:ctrlPr>
              <w:rPr>
                <w:rFonts w:ascii="Cambria Math" w:hAnsi="Cambria Math"/>
                <w:i/>
              </w:rPr>
            </m:ctrlPr>
          </m:fPr>
          <m:num>
            <m:r>
              <w:rPr>
                <w:rFonts w:ascii="Cambria Math" w:hAnsi="Cambria Math"/>
              </w:rPr>
              <m:t>P</m:t>
            </m:r>
          </m:num>
          <m:den>
            <m:r>
              <w:rPr>
                <w:rFonts w:ascii="Cambria Math" w:hAnsi="Cambria Math"/>
              </w:rPr>
              <m:t>S</m:t>
            </m:r>
          </m:den>
        </m:f>
        <m:r>
          <w:rPr>
            <w:rFonts w:ascii="Cambria Math" w:hAnsi="Cambria Math"/>
          </w:rPr>
          <m:t>=Cos θ</m:t>
        </m:r>
      </m:oMath>
      <w:r w:rsidR="00FA386A">
        <w:rPr>
          <w:rFonts w:eastAsiaTheme="minorEastAsia"/>
        </w:rPr>
        <w:t xml:space="preserve">                                                                10.2</w:t>
      </w:r>
    </w:p>
    <w:p w:rsidR="00B3695B" w:rsidRPr="00F02AAD" w:rsidRDefault="00B3695B" w:rsidP="00B3695B">
      <w:pPr>
        <w:rPr>
          <w:b/>
        </w:rPr>
      </w:pPr>
      <w:r w:rsidRPr="00F02AAD">
        <w:rPr>
          <w:b/>
        </w:rPr>
        <w:t>Causas de un bajo factor de potencia:</w:t>
      </w:r>
    </w:p>
    <w:p w:rsidR="00103DA4" w:rsidRDefault="008A289D">
      <w:r>
        <w:t>Las cargas industriales son en naturaleza de tipo reactivas, debido a la presencia de equipos de refrigeración, motores, etc. Este carácter reactivo obliga a que junto al consumo de la potencia activa se dé, el consumo de la potencia reactiva (</w:t>
      </w:r>
      <w:proofErr w:type="spellStart"/>
      <w:r>
        <w:t>kVAR</w:t>
      </w:r>
      <w:proofErr w:type="spellEnd"/>
      <w:r>
        <w:t xml:space="preserve">). Ambas la potencia reactiva y activa </w:t>
      </w:r>
      <w:r w:rsidR="00A218D2">
        <w:t>determina</w:t>
      </w:r>
      <w:r>
        <w:t xml:space="preserve"> el comportamiento operacional de dichos equipos y motores. </w:t>
      </w:r>
    </w:p>
    <w:p w:rsidR="00B3695B" w:rsidRDefault="00B3695B">
      <w:r>
        <w:t xml:space="preserve">La potencia reactiva permite generar el flujo electromagnético que otorga el funcionamiento a motores, transformadores, lámparas fluorescentes, equipos de refrigeración y otros similares. </w:t>
      </w:r>
      <w:r>
        <w:lastRenderedPageBreak/>
        <w:t>Cuando este tipo de cargas son comunes en una industria se produce el consumo de potencia reactiva, esto genera una disminución en el factor de potencia. Un alto consumo de energía reactiva puede estar siendo producido por:</w:t>
      </w:r>
    </w:p>
    <w:p w:rsidR="00B3695B" w:rsidRDefault="00B3695B" w:rsidP="00B3695B">
      <w:pPr>
        <w:pStyle w:val="Prrafodelista"/>
        <w:numPr>
          <w:ilvl w:val="0"/>
          <w:numId w:val="3"/>
        </w:numPr>
      </w:pPr>
      <w:r>
        <w:t>Un gran número de motores.</w:t>
      </w:r>
    </w:p>
    <w:p w:rsidR="00B3695B" w:rsidRDefault="00B3695B" w:rsidP="00B3695B">
      <w:pPr>
        <w:pStyle w:val="Prrafodelista"/>
        <w:numPr>
          <w:ilvl w:val="0"/>
          <w:numId w:val="3"/>
        </w:numPr>
      </w:pPr>
      <w:r>
        <w:t>Presencia de equipos de refrigeración y aires acondicionados.</w:t>
      </w:r>
    </w:p>
    <w:p w:rsidR="00B3695B" w:rsidRDefault="00B3695B" w:rsidP="00B3695B">
      <w:pPr>
        <w:pStyle w:val="Prrafodelista"/>
        <w:numPr>
          <w:ilvl w:val="0"/>
          <w:numId w:val="3"/>
        </w:numPr>
      </w:pPr>
      <w:r>
        <w:t xml:space="preserve">Una sub-utilización de la capacidad instalada de los equipos electromagnéticos, por mala planificación y operación en el sistema  eléctrico de la industria. </w:t>
      </w:r>
    </w:p>
    <w:p w:rsidR="00B3695B" w:rsidRDefault="00B3695B" w:rsidP="00B3695B">
      <w:pPr>
        <w:pStyle w:val="Prrafodelista"/>
        <w:numPr>
          <w:ilvl w:val="0"/>
          <w:numId w:val="3"/>
        </w:numPr>
      </w:pPr>
      <w:r>
        <w:t>Un mal estado físico de la red eléctrica y de los equipos de la industria.</w:t>
      </w:r>
    </w:p>
    <w:p w:rsidR="00A218D2" w:rsidRPr="00F02AAD" w:rsidRDefault="00A218D2">
      <w:pPr>
        <w:rPr>
          <w:b/>
        </w:rPr>
      </w:pPr>
      <w:r w:rsidRPr="00F02AAD">
        <w:rPr>
          <w:b/>
        </w:rPr>
        <w:t>Efectos de mantener un bajo factor de potencia.</w:t>
      </w:r>
    </w:p>
    <w:p w:rsidR="00A218D2" w:rsidRDefault="00A218D2">
      <w:r>
        <w:t>Un bajo factor de potencia genera los siguientes problemas:</w:t>
      </w:r>
    </w:p>
    <w:p w:rsidR="00A218D2" w:rsidRDefault="00A218D2" w:rsidP="00F02AAD">
      <w:pPr>
        <w:pStyle w:val="Prrafodelista"/>
        <w:numPr>
          <w:ilvl w:val="0"/>
          <w:numId w:val="4"/>
        </w:numPr>
      </w:pPr>
      <w:r>
        <w:t>Aumento de la intensidad de corriente.</w:t>
      </w:r>
    </w:p>
    <w:p w:rsidR="00A218D2" w:rsidRDefault="00A218D2" w:rsidP="00F02AAD">
      <w:pPr>
        <w:pStyle w:val="Prrafodelista"/>
        <w:numPr>
          <w:ilvl w:val="0"/>
          <w:numId w:val="4"/>
        </w:numPr>
      </w:pPr>
      <w:r>
        <w:t>Pérdidas en los conductores y fuertes caídas de tensión</w:t>
      </w:r>
      <w:r w:rsidR="00384240">
        <w:t xml:space="preserve"> (incremento de las perdidas por el efecto Joule)</w:t>
      </w:r>
      <w:r>
        <w:t>.</w:t>
      </w:r>
    </w:p>
    <w:p w:rsidR="00DB4BBE" w:rsidRDefault="00DB4BBE" w:rsidP="00DB4BBE">
      <w:pPr>
        <w:pStyle w:val="Prrafodelista"/>
        <w:numPr>
          <w:ilvl w:val="0"/>
          <w:numId w:val="5"/>
        </w:numPr>
      </w:pPr>
      <w:r>
        <w:t>Calentamiento de cables.</w:t>
      </w:r>
    </w:p>
    <w:p w:rsidR="00DB4BBE" w:rsidRDefault="00DB4BBE" w:rsidP="00DB4BBE">
      <w:pPr>
        <w:pStyle w:val="Prrafodelista"/>
        <w:numPr>
          <w:ilvl w:val="0"/>
          <w:numId w:val="5"/>
        </w:numPr>
      </w:pPr>
      <w:r>
        <w:t>Calentamiento de bobinados de transformadores.</w:t>
      </w:r>
    </w:p>
    <w:p w:rsidR="00DB4BBE" w:rsidRDefault="00DB4BBE" w:rsidP="00DB4BBE">
      <w:pPr>
        <w:pStyle w:val="Prrafodelista"/>
        <w:numPr>
          <w:ilvl w:val="0"/>
          <w:numId w:val="5"/>
        </w:numPr>
      </w:pPr>
      <w:r>
        <w:t>Disparo sin causa aparente de los dispositivos de protección.</w:t>
      </w:r>
    </w:p>
    <w:p w:rsidR="00A218D2" w:rsidRDefault="00A218D2" w:rsidP="00F02AAD">
      <w:pPr>
        <w:pStyle w:val="Prrafodelista"/>
        <w:numPr>
          <w:ilvl w:val="0"/>
          <w:numId w:val="4"/>
        </w:numPr>
      </w:pPr>
      <w:r>
        <w:t xml:space="preserve">Incrementos de potencia en las plantas, transformadores, reducción de su vida útil y reducción en la capacidad de conducción de los conductores. </w:t>
      </w:r>
    </w:p>
    <w:p w:rsidR="008C0F9A" w:rsidRDefault="008C0F9A" w:rsidP="00F02AAD">
      <w:pPr>
        <w:pStyle w:val="Prrafodelista"/>
        <w:numPr>
          <w:ilvl w:val="0"/>
          <w:numId w:val="4"/>
        </w:numPr>
      </w:pPr>
      <w:r>
        <w:t>Sobrecarga de generadores, transformadores y líneas de transmisión</w:t>
      </w:r>
      <w:r w:rsidR="002D7202">
        <w:t xml:space="preserve"> (se reduce la vida útil de los equipos)</w:t>
      </w:r>
      <w:r>
        <w:t>.</w:t>
      </w:r>
    </w:p>
    <w:p w:rsidR="005B477A" w:rsidRDefault="005B477A" w:rsidP="00F02AAD">
      <w:pPr>
        <w:pStyle w:val="Prrafodelista"/>
        <w:numPr>
          <w:ilvl w:val="0"/>
          <w:numId w:val="4"/>
        </w:numPr>
      </w:pPr>
      <w:r>
        <w:t xml:space="preserve">La temperatura de los conductores aumenta y esto disminuye la vida de su aislamiento. </w:t>
      </w:r>
    </w:p>
    <w:p w:rsidR="005B477A" w:rsidRDefault="005B477A" w:rsidP="00F02AAD">
      <w:pPr>
        <w:pStyle w:val="Prrafodelista"/>
        <w:numPr>
          <w:ilvl w:val="0"/>
          <w:numId w:val="4"/>
        </w:numPr>
      </w:pPr>
      <w:r>
        <w:t>Aumento en las facturas por consumo de potencia reactiva.</w:t>
      </w:r>
    </w:p>
    <w:p w:rsidR="002B3E60" w:rsidRDefault="002B3E60" w:rsidP="006508BF">
      <w:pPr>
        <w:pStyle w:val="Prrafodelista"/>
        <w:numPr>
          <w:ilvl w:val="0"/>
          <w:numId w:val="4"/>
        </w:numPr>
      </w:pPr>
      <w:r>
        <w:t>Aumento en la caída de tensión.</w:t>
      </w:r>
    </w:p>
    <w:p w:rsidR="00103DA4" w:rsidRDefault="00FA386A">
      <w:r>
        <w:t>Corrección del factor de potencia en las instalaciones de la S</w:t>
      </w:r>
      <w:r w:rsidR="00B06401">
        <w:t>ociedad Portuaria Caldera</w:t>
      </w:r>
    </w:p>
    <w:p w:rsidR="00B06401" w:rsidRDefault="00B06401">
      <w:r>
        <w:t>La Sociedad Portuaria Caldera cuenta con un medidor general el cual se ubica cerca del estacionamiento de las oficinas administrativas centrales. El mismo cuenta con el número de medidor 2315 del Instituto Costarricense de Electricidad (ICE)</w:t>
      </w:r>
      <w:r w:rsidR="0046469A">
        <w:t xml:space="preserve">. La siguiente tabla muestra el registro histórico de consumo medido en dicho medidor hasta el mes de Octubre del 2012. </w:t>
      </w:r>
    </w:p>
    <w:p w:rsidR="00085C32" w:rsidRDefault="00085C32"/>
    <w:p w:rsidR="00085C32" w:rsidRDefault="00085C32"/>
    <w:p w:rsidR="00085C32" w:rsidRDefault="00085C32"/>
    <w:p w:rsidR="00085C32" w:rsidRDefault="00085C32"/>
    <w:p w:rsidR="00085C32" w:rsidRDefault="00085C32"/>
    <w:p w:rsidR="00085C32" w:rsidRDefault="00085C32"/>
    <w:p w:rsidR="00085C32" w:rsidRDefault="00085C32"/>
    <w:p w:rsidR="0046469A" w:rsidRDefault="00085C32" w:rsidP="00085C32">
      <w:pPr>
        <w:pStyle w:val="Epgrafe"/>
      </w:pPr>
      <w:r>
        <w:t xml:space="preserve">Tabla </w:t>
      </w:r>
      <w:fldSimple w:instr=" SEQ Tabla \* ARABIC ">
        <w:r w:rsidR="00C809F5">
          <w:rPr>
            <w:noProof/>
          </w:rPr>
          <w:t>1</w:t>
        </w:r>
      </w:fldSimple>
      <w:r>
        <w:t xml:space="preserve"> Registro histórico del medidor principal. </w:t>
      </w:r>
    </w:p>
    <w:tbl>
      <w:tblPr>
        <w:tblStyle w:val="Tablaconcuadrcula"/>
        <w:tblW w:w="0" w:type="auto"/>
        <w:tblLook w:val="04A0" w:firstRow="1" w:lastRow="0" w:firstColumn="1" w:lastColumn="0" w:noHBand="0" w:noVBand="1"/>
      </w:tblPr>
      <w:tblGrid>
        <w:gridCol w:w="1728"/>
        <w:gridCol w:w="1729"/>
        <w:gridCol w:w="1729"/>
        <w:gridCol w:w="1729"/>
        <w:gridCol w:w="1729"/>
      </w:tblGrid>
      <w:tr w:rsidR="0046469A" w:rsidTr="0046469A">
        <w:tc>
          <w:tcPr>
            <w:tcW w:w="1728" w:type="dxa"/>
          </w:tcPr>
          <w:p w:rsidR="0046469A" w:rsidRDefault="0046469A">
            <w:r>
              <w:t xml:space="preserve">Mes </w:t>
            </w:r>
          </w:p>
        </w:tc>
        <w:tc>
          <w:tcPr>
            <w:tcW w:w="1729" w:type="dxa"/>
          </w:tcPr>
          <w:p w:rsidR="0046469A" w:rsidRDefault="0046469A">
            <w:r>
              <w:t>Año</w:t>
            </w:r>
          </w:p>
        </w:tc>
        <w:tc>
          <w:tcPr>
            <w:tcW w:w="1729" w:type="dxa"/>
          </w:tcPr>
          <w:p w:rsidR="0046469A" w:rsidRDefault="0046469A">
            <w:r>
              <w:t>Demanda Pico (kW)</w:t>
            </w:r>
          </w:p>
        </w:tc>
        <w:tc>
          <w:tcPr>
            <w:tcW w:w="1729" w:type="dxa"/>
          </w:tcPr>
          <w:p w:rsidR="0046469A" w:rsidRDefault="0046469A" w:rsidP="0046469A">
            <w:r>
              <w:t>Demanda valle (kW)</w:t>
            </w:r>
          </w:p>
        </w:tc>
        <w:tc>
          <w:tcPr>
            <w:tcW w:w="1729" w:type="dxa"/>
          </w:tcPr>
          <w:p w:rsidR="0046469A" w:rsidRDefault="0046469A" w:rsidP="0046469A">
            <w:r>
              <w:t>Demanda noche (kW)</w:t>
            </w:r>
          </w:p>
        </w:tc>
      </w:tr>
      <w:tr w:rsidR="0046469A" w:rsidTr="0046469A">
        <w:tc>
          <w:tcPr>
            <w:tcW w:w="1728" w:type="dxa"/>
          </w:tcPr>
          <w:p w:rsidR="0046469A" w:rsidRDefault="0046469A">
            <w:r>
              <w:t>8</w:t>
            </w:r>
          </w:p>
        </w:tc>
        <w:tc>
          <w:tcPr>
            <w:tcW w:w="1729" w:type="dxa"/>
          </w:tcPr>
          <w:p w:rsidR="0046469A" w:rsidRDefault="0046469A">
            <w:r>
              <w:t>2011</w:t>
            </w:r>
          </w:p>
        </w:tc>
        <w:tc>
          <w:tcPr>
            <w:tcW w:w="1729" w:type="dxa"/>
          </w:tcPr>
          <w:p w:rsidR="0046469A" w:rsidRDefault="0046469A">
            <w:r>
              <w:t>402,5</w:t>
            </w:r>
          </w:p>
        </w:tc>
        <w:tc>
          <w:tcPr>
            <w:tcW w:w="1729" w:type="dxa"/>
          </w:tcPr>
          <w:p w:rsidR="0046469A" w:rsidRDefault="0046469A" w:rsidP="0046469A">
            <w:r>
              <w:t>385</w:t>
            </w:r>
          </w:p>
        </w:tc>
        <w:tc>
          <w:tcPr>
            <w:tcW w:w="1729" w:type="dxa"/>
          </w:tcPr>
          <w:p w:rsidR="0046469A" w:rsidRDefault="0046469A" w:rsidP="0046469A">
            <w:r>
              <w:t>399</w:t>
            </w:r>
          </w:p>
        </w:tc>
      </w:tr>
      <w:tr w:rsidR="0046469A" w:rsidTr="0046469A">
        <w:tc>
          <w:tcPr>
            <w:tcW w:w="1728" w:type="dxa"/>
          </w:tcPr>
          <w:p w:rsidR="0046469A" w:rsidRDefault="0046469A">
            <w:r>
              <w:t>9</w:t>
            </w:r>
          </w:p>
        </w:tc>
        <w:tc>
          <w:tcPr>
            <w:tcW w:w="1729" w:type="dxa"/>
          </w:tcPr>
          <w:p w:rsidR="0046469A" w:rsidRDefault="0046469A">
            <w:r>
              <w:t>2011</w:t>
            </w:r>
          </w:p>
        </w:tc>
        <w:tc>
          <w:tcPr>
            <w:tcW w:w="1729" w:type="dxa"/>
          </w:tcPr>
          <w:p w:rsidR="0046469A" w:rsidRDefault="0046469A">
            <w:r>
              <w:t>413</w:t>
            </w:r>
          </w:p>
        </w:tc>
        <w:tc>
          <w:tcPr>
            <w:tcW w:w="1729" w:type="dxa"/>
          </w:tcPr>
          <w:p w:rsidR="0046469A" w:rsidRDefault="0046469A" w:rsidP="0046469A">
            <w:r>
              <w:t>407,75</w:t>
            </w:r>
          </w:p>
        </w:tc>
        <w:tc>
          <w:tcPr>
            <w:tcW w:w="1729" w:type="dxa"/>
          </w:tcPr>
          <w:p w:rsidR="0046469A" w:rsidRDefault="0046469A" w:rsidP="0046469A">
            <w:r>
              <w:t>414,75</w:t>
            </w:r>
          </w:p>
        </w:tc>
      </w:tr>
      <w:tr w:rsidR="0046469A" w:rsidTr="0046469A">
        <w:tc>
          <w:tcPr>
            <w:tcW w:w="1728" w:type="dxa"/>
          </w:tcPr>
          <w:p w:rsidR="0046469A" w:rsidRDefault="0046469A">
            <w:r>
              <w:t>10</w:t>
            </w:r>
          </w:p>
        </w:tc>
        <w:tc>
          <w:tcPr>
            <w:tcW w:w="1729" w:type="dxa"/>
          </w:tcPr>
          <w:p w:rsidR="0046469A" w:rsidRDefault="0046469A">
            <w:r>
              <w:t>2011</w:t>
            </w:r>
          </w:p>
        </w:tc>
        <w:tc>
          <w:tcPr>
            <w:tcW w:w="1729" w:type="dxa"/>
          </w:tcPr>
          <w:p w:rsidR="0046469A" w:rsidRDefault="0046469A">
            <w:r>
              <w:t>453,25</w:t>
            </w:r>
          </w:p>
        </w:tc>
        <w:tc>
          <w:tcPr>
            <w:tcW w:w="1729" w:type="dxa"/>
          </w:tcPr>
          <w:p w:rsidR="0046469A" w:rsidRDefault="0046469A" w:rsidP="0046469A">
            <w:r>
              <w:t>428,75</w:t>
            </w:r>
          </w:p>
        </w:tc>
        <w:tc>
          <w:tcPr>
            <w:tcW w:w="1729" w:type="dxa"/>
          </w:tcPr>
          <w:p w:rsidR="0046469A" w:rsidRDefault="0046469A" w:rsidP="0046469A">
            <w:r>
              <w:t>425,25</w:t>
            </w:r>
          </w:p>
        </w:tc>
      </w:tr>
      <w:tr w:rsidR="0046469A" w:rsidTr="0046469A">
        <w:tc>
          <w:tcPr>
            <w:tcW w:w="1728" w:type="dxa"/>
          </w:tcPr>
          <w:p w:rsidR="0046469A" w:rsidRDefault="0046469A" w:rsidP="00C809F5">
            <w:r>
              <w:t>11</w:t>
            </w:r>
          </w:p>
        </w:tc>
        <w:tc>
          <w:tcPr>
            <w:tcW w:w="1729" w:type="dxa"/>
          </w:tcPr>
          <w:p w:rsidR="0046469A" w:rsidRDefault="0046469A" w:rsidP="00C809F5">
            <w:r>
              <w:t>2011</w:t>
            </w:r>
          </w:p>
        </w:tc>
        <w:tc>
          <w:tcPr>
            <w:tcW w:w="1729" w:type="dxa"/>
          </w:tcPr>
          <w:p w:rsidR="0046469A" w:rsidRDefault="0046469A" w:rsidP="00C809F5">
            <w:r>
              <w:t>393,75</w:t>
            </w:r>
          </w:p>
        </w:tc>
        <w:tc>
          <w:tcPr>
            <w:tcW w:w="1729" w:type="dxa"/>
          </w:tcPr>
          <w:p w:rsidR="0046469A" w:rsidRDefault="0046469A" w:rsidP="00C809F5">
            <w:r>
              <w:t>393,75</w:t>
            </w:r>
          </w:p>
        </w:tc>
        <w:tc>
          <w:tcPr>
            <w:tcW w:w="1729" w:type="dxa"/>
          </w:tcPr>
          <w:p w:rsidR="0046469A" w:rsidRDefault="0046469A" w:rsidP="00C809F5">
            <w:r>
              <w:t>346,5</w:t>
            </w:r>
          </w:p>
        </w:tc>
      </w:tr>
      <w:tr w:rsidR="0046469A" w:rsidTr="0046469A">
        <w:tc>
          <w:tcPr>
            <w:tcW w:w="1728" w:type="dxa"/>
          </w:tcPr>
          <w:p w:rsidR="0046469A" w:rsidRDefault="0046469A" w:rsidP="00C809F5">
            <w:r>
              <w:t>12</w:t>
            </w:r>
          </w:p>
        </w:tc>
        <w:tc>
          <w:tcPr>
            <w:tcW w:w="1729" w:type="dxa"/>
          </w:tcPr>
          <w:p w:rsidR="0046469A" w:rsidRDefault="0046469A" w:rsidP="00C809F5">
            <w:r>
              <w:t>2011</w:t>
            </w:r>
          </w:p>
        </w:tc>
        <w:tc>
          <w:tcPr>
            <w:tcW w:w="1729" w:type="dxa"/>
          </w:tcPr>
          <w:p w:rsidR="0046469A" w:rsidRDefault="0046469A" w:rsidP="00C809F5">
            <w:r>
              <w:t>418,25</w:t>
            </w:r>
          </w:p>
        </w:tc>
        <w:tc>
          <w:tcPr>
            <w:tcW w:w="1729" w:type="dxa"/>
          </w:tcPr>
          <w:p w:rsidR="0046469A" w:rsidRDefault="0046469A" w:rsidP="00C809F5">
            <w:r>
              <w:t>416,5</w:t>
            </w:r>
          </w:p>
        </w:tc>
        <w:tc>
          <w:tcPr>
            <w:tcW w:w="1729" w:type="dxa"/>
          </w:tcPr>
          <w:p w:rsidR="0046469A" w:rsidRDefault="0046469A" w:rsidP="00C809F5">
            <w:r>
              <w:t>383,25</w:t>
            </w:r>
          </w:p>
        </w:tc>
      </w:tr>
      <w:tr w:rsidR="0046469A" w:rsidTr="0046469A">
        <w:tc>
          <w:tcPr>
            <w:tcW w:w="1728" w:type="dxa"/>
          </w:tcPr>
          <w:p w:rsidR="0046469A" w:rsidRDefault="0046469A" w:rsidP="00C809F5">
            <w:r>
              <w:t>1</w:t>
            </w:r>
          </w:p>
        </w:tc>
        <w:tc>
          <w:tcPr>
            <w:tcW w:w="1729" w:type="dxa"/>
          </w:tcPr>
          <w:p w:rsidR="0046469A" w:rsidRDefault="0046469A" w:rsidP="00C809F5">
            <w:r>
              <w:t>2012</w:t>
            </w:r>
          </w:p>
        </w:tc>
        <w:tc>
          <w:tcPr>
            <w:tcW w:w="1729" w:type="dxa"/>
          </w:tcPr>
          <w:p w:rsidR="0046469A" w:rsidRDefault="0046469A" w:rsidP="00C809F5">
            <w:r>
              <w:t>416,5</w:t>
            </w:r>
          </w:p>
        </w:tc>
        <w:tc>
          <w:tcPr>
            <w:tcW w:w="1729" w:type="dxa"/>
          </w:tcPr>
          <w:p w:rsidR="0046469A" w:rsidRDefault="0046469A" w:rsidP="00C809F5">
            <w:r>
              <w:t>409,5</w:t>
            </w:r>
          </w:p>
        </w:tc>
        <w:tc>
          <w:tcPr>
            <w:tcW w:w="1729" w:type="dxa"/>
          </w:tcPr>
          <w:p w:rsidR="0046469A" w:rsidRDefault="0046469A" w:rsidP="00C809F5">
            <w:r>
              <w:t>371</w:t>
            </w:r>
          </w:p>
        </w:tc>
      </w:tr>
      <w:tr w:rsidR="0046469A" w:rsidTr="0046469A">
        <w:tc>
          <w:tcPr>
            <w:tcW w:w="1728" w:type="dxa"/>
          </w:tcPr>
          <w:p w:rsidR="0046469A" w:rsidRDefault="0046469A" w:rsidP="00C809F5">
            <w:r>
              <w:t>2</w:t>
            </w:r>
          </w:p>
        </w:tc>
        <w:tc>
          <w:tcPr>
            <w:tcW w:w="1729" w:type="dxa"/>
          </w:tcPr>
          <w:p w:rsidR="0046469A" w:rsidRDefault="0046469A" w:rsidP="00C809F5">
            <w:r>
              <w:t>2012</w:t>
            </w:r>
          </w:p>
        </w:tc>
        <w:tc>
          <w:tcPr>
            <w:tcW w:w="1729" w:type="dxa"/>
          </w:tcPr>
          <w:p w:rsidR="0046469A" w:rsidRDefault="0046469A" w:rsidP="00C809F5">
            <w:r>
              <w:t>432,25</w:t>
            </w:r>
          </w:p>
        </w:tc>
        <w:tc>
          <w:tcPr>
            <w:tcW w:w="1729" w:type="dxa"/>
          </w:tcPr>
          <w:p w:rsidR="0046469A" w:rsidRDefault="0046469A" w:rsidP="00C809F5">
            <w:r>
              <w:t>446,25</w:t>
            </w:r>
          </w:p>
        </w:tc>
        <w:tc>
          <w:tcPr>
            <w:tcW w:w="1729" w:type="dxa"/>
          </w:tcPr>
          <w:p w:rsidR="0046469A" w:rsidRDefault="0046469A" w:rsidP="00C809F5">
            <w:r>
              <w:t>376,25</w:t>
            </w:r>
          </w:p>
        </w:tc>
      </w:tr>
      <w:tr w:rsidR="0046469A" w:rsidTr="0046469A">
        <w:tc>
          <w:tcPr>
            <w:tcW w:w="1728" w:type="dxa"/>
          </w:tcPr>
          <w:p w:rsidR="0046469A" w:rsidRDefault="0046469A" w:rsidP="00C809F5">
            <w:r>
              <w:t>3</w:t>
            </w:r>
          </w:p>
        </w:tc>
        <w:tc>
          <w:tcPr>
            <w:tcW w:w="1729" w:type="dxa"/>
          </w:tcPr>
          <w:p w:rsidR="0046469A" w:rsidRDefault="0046469A" w:rsidP="00C809F5">
            <w:r>
              <w:t>2012</w:t>
            </w:r>
          </w:p>
        </w:tc>
        <w:tc>
          <w:tcPr>
            <w:tcW w:w="1729" w:type="dxa"/>
          </w:tcPr>
          <w:p w:rsidR="0046469A" w:rsidRDefault="0046469A" w:rsidP="00C809F5">
            <w:r>
              <w:t>458,5</w:t>
            </w:r>
          </w:p>
        </w:tc>
        <w:tc>
          <w:tcPr>
            <w:tcW w:w="1729" w:type="dxa"/>
          </w:tcPr>
          <w:p w:rsidR="0046469A" w:rsidRDefault="007D6EBF" w:rsidP="00C809F5">
            <w:r>
              <w:t>456,75</w:t>
            </w:r>
          </w:p>
        </w:tc>
        <w:tc>
          <w:tcPr>
            <w:tcW w:w="1729" w:type="dxa"/>
          </w:tcPr>
          <w:p w:rsidR="0046469A" w:rsidRDefault="007D6EBF" w:rsidP="00C809F5">
            <w:r>
              <w:t>388,5</w:t>
            </w:r>
          </w:p>
        </w:tc>
      </w:tr>
      <w:tr w:rsidR="0046469A" w:rsidTr="0046469A">
        <w:tc>
          <w:tcPr>
            <w:tcW w:w="1728" w:type="dxa"/>
          </w:tcPr>
          <w:p w:rsidR="0046469A" w:rsidRDefault="0046469A" w:rsidP="00C809F5">
            <w:r>
              <w:t>4</w:t>
            </w:r>
          </w:p>
        </w:tc>
        <w:tc>
          <w:tcPr>
            <w:tcW w:w="1729" w:type="dxa"/>
          </w:tcPr>
          <w:p w:rsidR="0046469A" w:rsidRDefault="0046469A" w:rsidP="00C809F5">
            <w:r>
              <w:t>2012</w:t>
            </w:r>
          </w:p>
        </w:tc>
        <w:tc>
          <w:tcPr>
            <w:tcW w:w="1729" w:type="dxa"/>
          </w:tcPr>
          <w:p w:rsidR="0046469A" w:rsidRDefault="0046469A" w:rsidP="00C809F5">
            <w:r>
              <w:t>474,25</w:t>
            </w:r>
          </w:p>
        </w:tc>
        <w:tc>
          <w:tcPr>
            <w:tcW w:w="1729" w:type="dxa"/>
          </w:tcPr>
          <w:p w:rsidR="0046469A" w:rsidRDefault="007D6EBF" w:rsidP="00C809F5">
            <w:r>
              <w:t>463,75</w:t>
            </w:r>
          </w:p>
        </w:tc>
        <w:tc>
          <w:tcPr>
            <w:tcW w:w="1729" w:type="dxa"/>
          </w:tcPr>
          <w:p w:rsidR="0046469A" w:rsidRDefault="007D6EBF" w:rsidP="00C809F5">
            <w:r>
              <w:t>386,75</w:t>
            </w:r>
          </w:p>
        </w:tc>
      </w:tr>
      <w:tr w:rsidR="0046469A" w:rsidTr="0046469A">
        <w:tc>
          <w:tcPr>
            <w:tcW w:w="1728" w:type="dxa"/>
          </w:tcPr>
          <w:p w:rsidR="0046469A" w:rsidRDefault="0046469A" w:rsidP="00C809F5">
            <w:r>
              <w:t>5</w:t>
            </w:r>
          </w:p>
        </w:tc>
        <w:tc>
          <w:tcPr>
            <w:tcW w:w="1729" w:type="dxa"/>
          </w:tcPr>
          <w:p w:rsidR="0046469A" w:rsidRDefault="0046469A" w:rsidP="00C809F5">
            <w:r>
              <w:t>2012</w:t>
            </w:r>
          </w:p>
        </w:tc>
        <w:tc>
          <w:tcPr>
            <w:tcW w:w="1729" w:type="dxa"/>
          </w:tcPr>
          <w:p w:rsidR="0046469A" w:rsidRDefault="0046469A" w:rsidP="00C809F5">
            <w:r>
              <w:t>483</w:t>
            </w:r>
          </w:p>
        </w:tc>
        <w:tc>
          <w:tcPr>
            <w:tcW w:w="1729" w:type="dxa"/>
          </w:tcPr>
          <w:p w:rsidR="0046469A" w:rsidRDefault="007D6EBF" w:rsidP="00C809F5">
            <w:r>
              <w:t>472,5</w:t>
            </w:r>
          </w:p>
        </w:tc>
        <w:tc>
          <w:tcPr>
            <w:tcW w:w="1729" w:type="dxa"/>
          </w:tcPr>
          <w:p w:rsidR="0046469A" w:rsidRDefault="007D6EBF" w:rsidP="00C809F5">
            <w:r>
              <w:t>420</w:t>
            </w:r>
          </w:p>
        </w:tc>
      </w:tr>
      <w:tr w:rsidR="0046469A" w:rsidTr="0046469A">
        <w:tc>
          <w:tcPr>
            <w:tcW w:w="1728" w:type="dxa"/>
          </w:tcPr>
          <w:p w:rsidR="0046469A" w:rsidRDefault="0046469A" w:rsidP="00C809F5">
            <w:r>
              <w:t>6</w:t>
            </w:r>
          </w:p>
        </w:tc>
        <w:tc>
          <w:tcPr>
            <w:tcW w:w="1729" w:type="dxa"/>
          </w:tcPr>
          <w:p w:rsidR="0046469A" w:rsidRDefault="0046469A" w:rsidP="00C809F5">
            <w:r>
              <w:t>2012</w:t>
            </w:r>
          </w:p>
        </w:tc>
        <w:tc>
          <w:tcPr>
            <w:tcW w:w="1729" w:type="dxa"/>
          </w:tcPr>
          <w:p w:rsidR="0046469A" w:rsidRDefault="0046469A" w:rsidP="00C809F5">
            <w:r>
              <w:t>453,25</w:t>
            </w:r>
          </w:p>
        </w:tc>
        <w:tc>
          <w:tcPr>
            <w:tcW w:w="1729" w:type="dxa"/>
          </w:tcPr>
          <w:p w:rsidR="0046469A" w:rsidRDefault="007D6EBF" w:rsidP="00C809F5">
            <w:r>
              <w:t>451,5</w:t>
            </w:r>
          </w:p>
        </w:tc>
        <w:tc>
          <w:tcPr>
            <w:tcW w:w="1729" w:type="dxa"/>
          </w:tcPr>
          <w:p w:rsidR="0046469A" w:rsidRDefault="007D6EBF" w:rsidP="00C809F5">
            <w:r>
              <w:t>388,5</w:t>
            </w:r>
          </w:p>
        </w:tc>
      </w:tr>
      <w:tr w:rsidR="0046469A" w:rsidTr="0046469A">
        <w:tc>
          <w:tcPr>
            <w:tcW w:w="1728" w:type="dxa"/>
          </w:tcPr>
          <w:p w:rsidR="0046469A" w:rsidRDefault="0046469A" w:rsidP="00C809F5">
            <w:r>
              <w:t>7</w:t>
            </w:r>
          </w:p>
        </w:tc>
        <w:tc>
          <w:tcPr>
            <w:tcW w:w="1729" w:type="dxa"/>
          </w:tcPr>
          <w:p w:rsidR="0046469A" w:rsidRDefault="0046469A" w:rsidP="00C809F5">
            <w:r>
              <w:t>2012</w:t>
            </w:r>
          </w:p>
        </w:tc>
        <w:tc>
          <w:tcPr>
            <w:tcW w:w="1729" w:type="dxa"/>
          </w:tcPr>
          <w:p w:rsidR="0046469A" w:rsidRDefault="0046469A" w:rsidP="00C809F5">
            <w:r>
              <w:t>462</w:t>
            </w:r>
          </w:p>
        </w:tc>
        <w:tc>
          <w:tcPr>
            <w:tcW w:w="1729" w:type="dxa"/>
          </w:tcPr>
          <w:p w:rsidR="0046469A" w:rsidRDefault="007D6EBF" w:rsidP="00C809F5">
            <w:r>
              <w:t>458,5</w:t>
            </w:r>
          </w:p>
        </w:tc>
        <w:tc>
          <w:tcPr>
            <w:tcW w:w="1729" w:type="dxa"/>
          </w:tcPr>
          <w:p w:rsidR="0046469A" w:rsidRDefault="007D6EBF" w:rsidP="00C809F5">
            <w:r>
              <w:t>357</w:t>
            </w:r>
          </w:p>
        </w:tc>
      </w:tr>
      <w:tr w:rsidR="0046469A" w:rsidTr="0046469A">
        <w:tc>
          <w:tcPr>
            <w:tcW w:w="1728" w:type="dxa"/>
          </w:tcPr>
          <w:p w:rsidR="0046469A" w:rsidRDefault="0046469A" w:rsidP="00C809F5">
            <w:r>
              <w:t>8</w:t>
            </w:r>
          </w:p>
        </w:tc>
        <w:tc>
          <w:tcPr>
            <w:tcW w:w="1729" w:type="dxa"/>
          </w:tcPr>
          <w:p w:rsidR="0046469A" w:rsidRDefault="0046469A" w:rsidP="00C809F5">
            <w:r>
              <w:t>2012</w:t>
            </w:r>
          </w:p>
        </w:tc>
        <w:tc>
          <w:tcPr>
            <w:tcW w:w="1729" w:type="dxa"/>
          </w:tcPr>
          <w:p w:rsidR="0046469A" w:rsidRDefault="0046469A" w:rsidP="00C809F5">
            <w:r>
              <w:t>462</w:t>
            </w:r>
          </w:p>
        </w:tc>
        <w:tc>
          <w:tcPr>
            <w:tcW w:w="1729" w:type="dxa"/>
          </w:tcPr>
          <w:p w:rsidR="0046469A" w:rsidRDefault="007D6EBF" w:rsidP="00C809F5">
            <w:r>
              <w:t>472,5</w:t>
            </w:r>
          </w:p>
        </w:tc>
        <w:tc>
          <w:tcPr>
            <w:tcW w:w="1729" w:type="dxa"/>
          </w:tcPr>
          <w:p w:rsidR="0046469A" w:rsidRDefault="007D6EBF" w:rsidP="00C809F5">
            <w:r>
              <w:t>378</w:t>
            </w:r>
          </w:p>
        </w:tc>
      </w:tr>
      <w:tr w:rsidR="0046469A" w:rsidTr="0046469A">
        <w:tc>
          <w:tcPr>
            <w:tcW w:w="1728" w:type="dxa"/>
          </w:tcPr>
          <w:p w:rsidR="0046469A" w:rsidRDefault="0046469A" w:rsidP="00C809F5">
            <w:r>
              <w:t>9</w:t>
            </w:r>
          </w:p>
        </w:tc>
        <w:tc>
          <w:tcPr>
            <w:tcW w:w="1729" w:type="dxa"/>
          </w:tcPr>
          <w:p w:rsidR="0046469A" w:rsidRDefault="0046469A" w:rsidP="00C809F5">
            <w:r>
              <w:t>2012</w:t>
            </w:r>
          </w:p>
        </w:tc>
        <w:tc>
          <w:tcPr>
            <w:tcW w:w="1729" w:type="dxa"/>
          </w:tcPr>
          <w:p w:rsidR="0046469A" w:rsidRDefault="0046469A" w:rsidP="00C809F5">
            <w:r>
              <w:t>425,25</w:t>
            </w:r>
          </w:p>
        </w:tc>
        <w:tc>
          <w:tcPr>
            <w:tcW w:w="1729" w:type="dxa"/>
          </w:tcPr>
          <w:p w:rsidR="0046469A" w:rsidRDefault="007D6EBF" w:rsidP="00C809F5">
            <w:r>
              <w:t>428,75</w:t>
            </w:r>
          </w:p>
        </w:tc>
        <w:tc>
          <w:tcPr>
            <w:tcW w:w="1729" w:type="dxa"/>
          </w:tcPr>
          <w:p w:rsidR="0046469A" w:rsidRDefault="007D6EBF" w:rsidP="00C809F5">
            <w:r>
              <w:t>358,75</w:t>
            </w:r>
          </w:p>
        </w:tc>
      </w:tr>
      <w:tr w:rsidR="0046469A" w:rsidTr="0046469A">
        <w:tc>
          <w:tcPr>
            <w:tcW w:w="1728" w:type="dxa"/>
          </w:tcPr>
          <w:p w:rsidR="0046469A" w:rsidRDefault="0046469A" w:rsidP="00C809F5">
            <w:r>
              <w:t>10</w:t>
            </w:r>
          </w:p>
        </w:tc>
        <w:tc>
          <w:tcPr>
            <w:tcW w:w="1729" w:type="dxa"/>
          </w:tcPr>
          <w:p w:rsidR="0046469A" w:rsidRDefault="0046469A" w:rsidP="00C809F5">
            <w:r>
              <w:t>2012</w:t>
            </w:r>
          </w:p>
        </w:tc>
        <w:tc>
          <w:tcPr>
            <w:tcW w:w="1729" w:type="dxa"/>
          </w:tcPr>
          <w:p w:rsidR="0046469A" w:rsidRDefault="0046469A" w:rsidP="00C809F5">
            <w:r>
              <w:t>439,25</w:t>
            </w:r>
          </w:p>
        </w:tc>
        <w:tc>
          <w:tcPr>
            <w:tcW w:w="1729" w:type="dxa"/>
          </w:tcPr>
          <w:p w:rsidR="0046469A" w:rsidRDefault="007D6EBF" w:rsidP="00C809F5">
            <w:r>
              <w:t>428,75</w:t>
            </w:r>
          </w:p>
        </w:tc>
        <w:tc>
          <w:tcPr>
            <w:tcW w:w="1729" w:type="dxa"/>
          </w:tcPr>
          <w:p w:rsidR="0046469A" w:rsidRDefault="007D6EBF" w:rsidP="00C809F5">
            <w:r>
              <w:t>337,75</w:t>
            </w:r>
          </w:p>
        </w:tc>
      </w:tr>
      <w:tr w:rsidR="00D155F1" w:rsidTr="0046469A">
        <w:tc>
          <w:tcPr>
            <w:tcW w:w="1728" w:type="dxa"/>
          </w:tcPr>
          <w:p w:rsidR="00D155F1" w:rsidRDefault="007D6EBF" w:rsidP="00C809F5">
            <w:r>
              <w:t>Promedio Mensual</w:t>
            </w:r>
          </w:p>
        </w:tc>
        <w:tc>
          <w:tcPr>
            <w:tcW w:w="1729" w:type="dxa"/>
          </w:tcPr>
          <w:p w:rsidR="00D155F1" w:rsidRDefault="00D155F1" w:rsidP="00C809F5">
            <w:r>
              <w:t>2012</w:t>
            </w:r>
          </w:p>
        </w:tc>
        <w:tc>
          <w:tcPr>
            <w:tcW w:w="1729" w:type="dxa"/>
          </w:tcPr>
          <w:p w:rsidR="00D155F1" w:rsidRDefault="007D6EBF" w:rsidP="00C809F5">
            <w:r>
              <w:t>439,13</w:t>
            </w:r>
          </w:p>
        </w:tc>
        <w:tc>
          <w:tcPr>
            <w:tcW w:w="1729" w:type="dxa"/>
          </w:tcPr>
          <w:p w:rsidR="00D155F1" w:rsidRDefault="007D6EBF" w:rsidP="00C809F5">
            <w:r>
              <w:t>434,7</w:t>
            </w:r>
          </w:p>
        </w:tc>
        <w:tc>
          <w:tcPr>
            <w:tcW w:w="1729" w:type="dxa"/>
          </w:tcPr>
          <w:p w:rsidR="00D155F1" w:rsidRDefault="007D6EBF" w:rsidP="007D6EBF">
            <w:r>
              <w:t>382,08</w:t>
            </w:r>
          </w:p>
        </w:tc>
      </w:tr>
    </w:tbl>
    <w:p w:rsidR="0046469A" w:rsidRDefault="0046469A"/>
    <w:p w:rsidR="00103DA4" w:rsidRDefault="00F31328">
      <w:r>
        <w:t>El ICE permite un factor de potencia no menor a 0,9. La siguiente tabla muestra el factor de potencia promedio medido en los meses indicados.</w:t>
      </w:r>
    </w:p>
    <w:p w:rsidR="00085C32" w:rsidRDefault="00085C32" w:rsidP="00085C32">
      <w:pPr>
        <w:pStyle w:val="Epgrafe"/>
      </w:pPr>
      <w:r>
        <w:t xml:space="preserve">Tabla </w:t>
      </w:r>
      <w:fldSimple w:instr=" SEQ Tabla \* ARABIC ">
        <w:r w:rsidR="00C809F5">
          <w:rPr>
            <w:noProof/>
          </w:rPr>
          <w:t>2</w:t>
        </w:r>
      </w:fldSimple>
      <w:r>
        <w:t xml:space="preserve"> Factor de potencia de los meses de agosto, setiembre y octubre del 2012.</w:t>
      </w:r>
    </w:p>
    <w:tbl>
      <w:tblPr>
        <w:tblStyle w:val="Tablaconcuadrcula"/>
        <w:tblW w:w="0" w:type="auto"/>
        <w:jc w:val="center"/>
        <w:tblLook w:val="04A0" w:firstRow="1" w:lastRow="0" w:firstColumn="1" w:lastColumn="0" w:noHBand="0" w:noVBand="1"/>
      </w:tblPr>
      <w:tblGrid>
        <w:gridCol w:w="1138"/>
        <w:gridCol w:w="663"/>
        <w:gridCol w:w="1886"/>
      </w:tblGrid>
      <w:tr w:rsidR="00F31328" w:rsidTr="00692605">
        <w:trPr>
          <w:jc w:val="center"/>
        </w:trPr>
        <w:tc>
          <w:tcPr>
            <w:tcW w:w="0" w:type="auto"/>
          </w:tcPr>
          <w:p w:rsidR="00F31328" w:rsidRDefault="00F31328" w:rsidP="00692605">
            <w:pPr>
              <w:jc w:val="center"/>
            </w:pPr>
            <w:r>
              <w:t>Mes</w:t>
            </w:r>
          </w:p>
        </w:tc>
        <w:tc>
          <w:tcPr>
            <w:tcW w:w="0" w:type="auto"/>
          </w:tcPr>
          <w:p w:rsidR="00F31328" w:rsidRDefault="00F31328" w:rsidP="00692605">
            <w:pPr>
              <w:jc w:val="center"/>
            </w:pPr>
            <w:r>
              <w:t>Año</w:t>
            </w:r>
          </w:p>
        </w:tc>
        <w:tc>
          <w:tcPr>
            <w:tcW w:w="0" w:type="auto"/>
          </w:tcPr>
          <w:p w:rsidR="00F31328" w:rsidRDefault="00F31328" w:rsidP="00692605">
            <w:pPr>
              <w:jc w:val="center"/>
            </w:pPr>
            <w:r>
              <w:t>Factor de potencia</w:t>
            </w:r>
          </w:p>
        </w:tc>
      </w:tr>
      <w:tr w:rsidR="00F31328" w:rsidTr="00692605">
        <w:trPr>
          <w:jc w:val="center"/>
        </w:trPr>
        <w:tc>
          <w:tcPr>
            <w:tcW w:w="0" w:type="auto"/>
          </w:tcPr>
          <w:p w:rsidR="00F31328" w:rsidRDefault="00692605" w:rsidP="00692605">
            <w:pPr>
              <w:jc w:val="center"/>
            </w:pPr>
            <w:r>
              <w:t>Octubre</w:t>
            </w:r>
          </w:p>
        </w:tc>
        <w:tc>
          <w:tcPr>
            <w:tcW w:w="0" w:type="auto"/>
          </w:tcPr>
          <w:p w:rsidR="00F31328" w:rsidRDefault="00692605" w:rsidP="00692605">
            <w:pPr>
              <w:jc w:val="center"/>
            </w:pPr>
            <w:r>
              <w:t>2012</w:t>
            </w:r>
          </w:p>
        </w:tc>
        <w:tc>
          <w:tcPr>
            <w:tcW w:w="0" w:type="auto"/>
          </w:tcPr>
          <w:p w:rsidR="00F31328" w:rsidRDefault="00692605" w:rsidP="00692605">
            <w:pPr>
              <w:jc w:val="center"/>
            </w:pPr>
            <w:r>
              <w:t>0,89</w:t>
            </w:r>
          </w:p>
        </w:tc>
      </w:tr>
      <w:tr w:rsidR="00F31328" w:rsidTr="00692605">
        <w:trPr>
          <w:jc w:val="center"/>
        </w:trPr>
        <w:tc>
          <w:tcPr>
            <w:tcW w:w="0" w:type="auto"/>
          </w:tcPr>
          <w:p w:rsidR="00692605" w:rsidRDefault="00692605" w:rsidP="00692605">
            <w:pPr>
              <w:jc w:val="center"/>
            </w:pPr>
            <w:r>
              <w:t>Setiembre</w:t>
            </w:r>
          </w:p>
        </w:tc>
        <w:tc>
          <w:tcPr>
            <w:tcW w:w="0" w:type="auto"/>
          </w:tcPr>
          <w:p w:rsidR="00F31328" w:rsidRDefault="00692605" w:rsidP="00692605">
            <w:pPr>
              <w:jc w:val="center"/>
            </w:pPr>
            <w:r>
              <w:t>2012</w:t>
            </w:r>
          </w:p>
        </w:tc>
        <w:tc>
          <w:tcPr>
            <w:tcW w:w="0" w:type="auto"/>
          </w:tcPr>
          <w:p w:rsidR="00F31328" w:rsidRDefault="00692605" w:rsidP="00692605">
            <w:pPr>
              <w:jc w:val="center"/>
            </w:pPr>
            <w:r>
              <w:t>0,87</w:t>
            </w:r>
          </w:p>
        </w:tc>
      </w:tr>
      <w:tr w:rsidR="00F31328" w:rsidTr="00692605">
        <w:trPr>
          <w:jc w:val="center"/>
        </w:trPr>
        <w:tc>
          <w:tcPr>
            <w:tcW w:w="0" w:type="auto"/>
          </w:tcPr>
          <w:p w:rsidR="00F31328" w:rsidRDefault="00692605" w:rsidP="00692605">
            <w:pPr>
              <w:jc w:val="center"/>
            </w:pPr>
            <w:r>
              <w:t>Agosto</w:t>
            </w:r>
          </w:p>
        </w:tc>
        <w:tc>
          <w:tcPr>
            <w:tcW w:w="0" w:type="auto"/>
          </w:tcPr>
          <w:p w:rsidR="00F31328" w:rsidRDefault="00692605" w:rsidP="00692605">
            <w:pPr>
              <w:jc w:val="center"/>
            </w:pPr>
            <w:r>
              <w:t>2012</w:t>
            </w:r>
          </w:p>
        </w:tc>
        <w:tc>
          <w:tcPr>
            <w:tcW w:w="0" w:type="auto"/>
          </w:tcPr>
          <w:p w:rsidR="00F31328" w:rsidRDefault="00692605" w:rsidP="00692605">
            <w:pPr>
              <w:jc w:val="center"/>
            </w:pPr>
            <w:r>
              <w:t>0,87</w:t>
            </w:r>
          </w:p>
        </w:tc>
      </w:tr>
    </w:tbl>
    <w:p w:rsidR="00BF6A05" w:rsidRDefault="00BF6A05" w:rsidP="00F02AAD">
      <w:bookmarkStart w:id="0" w:name="_Toc360177229"/>
    </w:p>
    <w:p w:rsidR="00103DA4" w:rsidRDefault="00103DA4" w:rsidP="00F02AAD">
      <w:r w:rsidRPr="00440E38">
        <w:t>Factor de potencia</w:t>
      </w:r>
      <w:r w:rsidR="00BF6A05">
        <w:t xml:space="preserve"> de los distintos puntos medidos</w:t>
      </w:r>
      <w:r w:rsidRPr="00440E38">
        <w:t>.</w:t>
      </w:r>
      <w:bookmarkEnd w:id="0"/>
    </w:p>
    <w:p w:rsidR="0055773D" w:rsidRDefault="00363982" w:rsidP="00363982">
      <w:pPr>
        <w:pStyle w:val="Epgrafe"/>
      </w:pPr>
      <w:r>
        <w:lastRenderedPageBreak/>
        <w:t xml:space="preserve">Tabla </w:t>
      </w:r>
      <w:fldSimple w:instr=" SEQ Tabla \* ARABIC ">
        <w:r w:rsidR="00C809F5">
          <w:rPr>
            <w:noProof/>
          </w:rPr>
          <w:t>3</w:t>
        </w:r>
      </w:fldSimple>
      <w:r>
        <w:t xml:space="preserve"> Factor</w:t>
      </w:r>
      <w:r w:rsidR="0055773D">
        <w:t xml:space="preserve"> de potencia de los distintos puntos de medición.</w:t>
      </w:r>
    </w:p>
    <w:tbl>
      <w:tblPr>
        <w:tblStyle w:val="Tablaconcuadrcula"/>
        <w:tblW w:w="0" w:type="auto"/>
        <w:tblLook w:val="04A0" w:firstRow="1" w:lastRow="0" w:firstColumn="1" w:lastColumn="0" w:noHBand="0" w:noVBand="1"/>
      </w:tblPr>
      <w:tblGrid>
        <w:gridCol w:w="2881"/>
        <w:gridCol w:w="2881"/>
        <w:gridCol w:w="2882"/>
      </w:tblGrid>
      <w:tr w:rsidR="005B57C8" w:rsidTr="005B57C8">
        <w:tc>
          <w:tcPr>
            <w:tcW w:w="2881" w:type="dxa"/>
          </w:tcPr>
          <w:p w:rsidR="005B57C8" w:rsidRDefault="005B57C8" w:rsidP="00F02AAD">
            <w:r>
              <w:t>Lugar</w:t>
            </w:r>
          </w:p>
        </w:tc>
        <w:tc>
          <w:tcPr>
            <w:tcW w:w="2881" w:type="dxa"/>
          </w:tcPr>
          <w:p w:rsidR="005B57C8" w:rsidRDefault="005B57C8" w:rsidP="00F02AAD">
            <w:r>
              <w:t>F.P. promedio</w:t>
            </w:r>
          </w:p>
        </w:tc>
        <w:tc>
          <w:tcPr>
            <w:tcW w:w="2882" w:type="dxa"/>
          </w:tcPr>
          <w:p w:rsidR="005B57C8" w:rsidRDefault="005B57C8" w:rsidP="00F02AAD">
            <w:r>
              <w:t xml:space="preserve">F.P. mínimo </w:t>
            </w:r>
          </w:p>
        </w:tc>
      </w:tr>
      <w:tr w:rsidR="005B57C8" w:rsidTr="005B57C8">
        <w:tc>
          <w:tcPr>
            <w:tcW w:w="2881" w:type="dxa"/>
          </w:tcPr>
          <w:p w:rsidR="005B57C8" w:rsidRDefault="005B57C8" w:rsidP="00F02AAD">
            <w:r>
              <w:t>Bodega de contenedores refrigerados.</w:t>
            </w:r>
          </w:p>
        </w:tc>
        <w:tc>
          <w:tcPr>
            <w:tcW w:w="2881" w:type="dxa"/>
          </w:tcPr>
          <w:p w:rsidR="005B57C8" w:rsidRDefault="00B153D5" w:rsidP="00F02AAD">
            <w:r>
              <w:t>0,77</w:t>
            </w:r>
          </w:p>
        </w:tc>
        <w:tc>
          <w:tcPr>
            <w:tcW w:w="2882" w:type="dxa"/>
          </w:tcPr>
          <w:p w:rsidR="005B57C8" w:rsidRDefault="00B153D5" w:rsidP="00F02AAD">
            <w:r>
              <w:t>0,64</w:t>
            </w:r>
          </w:p>
        </w:tc>
      </w:tr>
      <w:tr w:rsidR="00B153D5" w:rsidTr="005B57C8">
        <w:tc>
          <w:tcPr>
            <w:tcW w:w="2881" w:type="dxa"/>
          </w:tcPr>
          <w:p w:rsidR="00B153D5" w:rsidRDefault="00B153D5" w:rsidP="00F02AAD">
            <w:r>
              <w:t>Bodega 1</w:t>
            </w:r>
          </w:p>
        </w:tc>
        <w:tc>
          <w:tcPr>
            <w:tcW w:w="2881" w:type="dxa"/>
          </w:tcPr>
          <w:p w:rsidR="00B153D5" w:rsidRDefault="001167F5" w:rsidP="00F02AAD">
            <w:r>
              <w:t>0,91</w:t>
            </w:r>
          </w:p>
        </w:tc>
        <w:tc>
          <w:tcPr>
            <w:tcW w:w="2882" w:type="dxa"/>
          </w:tcPr>
          <w:p w:rsidR="00B153D5" w:rsidRDefault="001167F5" w:rsidP="00F02AAD">
            <w:r>
              <w:t>0,59</w:t>
            </w:r>
          </w:p>
        </w:tc>
      </w:tr>
      <w:tr w:rsidR="001167F5" w:rsidTr="005B57C8">
        <w:tc>
          <w:tcPr>
            <w:tcW w:w="2881" w:type="dxa"/>
          </w:tcPr>
          <w:p w:rsidR="001167F5" w:rsidRDefault="001167F5" w:rsidP="00F02AAD">
            <w:r>
              <w:t>Bodega 2</w:t>
            </w:r>
          </w:p>
        </w:tc>
        <w:tc>
          <w:tcPr>
            <w:tcW w:w="2881" w:type="dxa"/>
          </w:tcPr>
          <w:p w:rsidR="001167F5" w:rsidRDefault="001167F5" w:rsidP="00F02AAD">
            <w:r>
              <w:t>0,7</w:t>
            </w:r>
          </w:p>
        </w:tc>
        <w:tc>
          <w:tcPr>
            <w:tcW w:w="2882" w:type="dxa"/>
          </w:tcPr>
          <w:p w:rsidR="001167F5" w:rsidRDefault="001167F5" w:rsidP="00F02AAD">
            <w:r>
              <w:t>0,436</w:t>
            </w:r>
          </w:p>
        </w:tc>
      </w:tr>
      <w:tr w:rsidR="001167F5" w:rsidTr="005B57C8">
        <w:tc>
          <w:tcPr>
            <w:tcW w:w="2881" w:type="dxa"/>
          </w:tcPr>
          <w:p w:rsidR="001167F5" w:rsidRDefault="001167F5" w:rsidP="00F02AAD">
            <w:r>
              <w:t>Área de mantenimiento</w:t>
            </w:r>
          </w:p>
        </w:tc>
        <w:tc>
          <w:tcPr>
            <w:tcW w:w="2881" w:type="dxa"/>
          </w:tcPr>
          <w:p w:rsidR="001167F5" w:rsidRDefault="001167F5" w:rsidP="00F02AAD">
            <w:r>
              <w:t>0,8</w:t>
            </w:r>
          </w:p>
        </w:tc>
        <w:tc>
          <w:tcPr>
            <w:tcW w:w="2882" w:type="dxa"/>
          </w:tcPr>
          <w:p w:rsidR="001167F5" w:rsidRDefault="001167F5" w:rsidP="00F02AAD">
            <w:r>
              <w:t>0,68</w:t>
            </w:r>
          </w:p>
        </w:tc>
      </w:tr>
      <w:tr w:rsidR="001167F5" w:rsidTr="005B57C8">
        <w:tc>
          <w:tcPr>
            <w:tcW w:w="2881" w:type="dxa"/>
          </w:tcPr>
          <w:p w:rsidR="001167F5" w:rsidRDefault="001167F5" w:rsidP="00F02AAD">
            <w:r>
              <w:t>Comedor</w:t>
            </w:r>
          </w:p>
        </w:tc>
        <w:tc>
          <w:tcPr>
            <w:tcW w:w="2881" w:type="dxa"/>
          </w:tcPr>
          <w:p w:rsidR="001167F5" w:rsidRDefault="001167F5" w:rsidP="00F02AAD">
            <w:r>
              <w:t>0,83</w:t>
            </w:r>
          </w:p>
        </w:tc>
        <w:tc>
          <w:tcPr>
            <w:tcW w:w="2882" w:type="dxa"/>
          </w:tcPr>
          <w:p w:rsidR="001167F5" w:rsidRDefault="001167F5" w:rsidP="00F02AAD">
            <w:r>
              <w:t>0,68</w:t>
            </w:r>
          </w:p>
        </w:tc>
      </w:tr>
      <w:tr w:rsidR="001167F5" w:rsidTr="005B57C8">
        <w:tc>
          <w:tcPr>
            <w:tcW w:w="2881" w:type="dxa"/>
          </w:tcPr>
          <w:p w:rsidR="001167F5" w:rsidRDefault="00597814" w:rsidP="00F02AAD">
            <w:r>
              <w:t>Edificio Administrativo</w:t>
            </w:r>
          </w:p>
        </w:tc>
        <w:tc>
          <w:tcPr>
            <w:tcW w:w="2881" w:type="dxa"/>
          </w:tcPr>
          <w:p w:rsidR="001167F5" w:rsidRDefault="00597814" w:rsidP="00F02AAD">
            <w:r>
              <w:t>0,966</w:t>
            </w:r>
          </w:p>
        </w:tc>
        <w:tc>
          <w:tcPr>
            <w:tcW w:w="2882" w:type="dxa"/>
          </w:tcPr>
          <w:p w:rsidR="001167F5" w:rsidRDefault="00597814" w:rsidP="00F02AAD">
            <w:r>
              <w:t>0,94</w:t>
            </w:r>
          </w:p>
        </w:tc>
      </w:tr>
      <w:tr w:rsidR="00597814" w:rsidTr="005B57C8">
        <w:tc>
          <w:tcPr>
            <w:tcW w:w="2881" w:type="dxa"/>
          </w:tcPr>
          <w:p w:rsidR="00597814" w:rsidRDefault="00597814" w:rsidP="00F02AAD">
            <w:r>
              <w:t>INCOP</w:t>
            </w:r>
          </w:p>
        </w:tc>
        <w:tc>
          <w:tcPr>
            <w:tcW w:w="2881" w:type="dxa"/>
          </w:tcPr>
          <w:p w:rsidR="00597814" w:rsidRDefault="00597814" w:rsidP="00F02AAD">
            <w:r>
              <w:t>0,97</w:t>
            </w:r>
          </w:p>
        </w:tc>
        <w:tc>
          <w:tcPr>
            <w:tcW w:w="2882" w:type="dxa"/>
          </w:tcPr>
          <w:p w:rsidR="00597814" w:rsidRDefault="00597814" w:rsidP="00F02AAD">
            <w:r>
              <w:t>0,974</w:t>
            </w:r>
          </w:p>
        </w:tc>
      </w:tr>
    </w:tbl>
    <w:p w:rsidR="00837E01" w:rsidRDefault="00837E01" w:rsidP="00363982">
      <w:pPr>
        <w:pStyle w:val="Epgrafe"/>
      </w:pPr>
      <w:bookmarkStart w:id="1" w:name="_Toc360177280"/>
    </w:p>
    <w:p w:rsidR="0055773D" w:rsidRDefault="00363982" w:rsidP="00363982">
      <w:pPr>
        <w:pStyle w:val="Epgrafe"/>
      </w:pPr>
      <w:r>
        <w:t xml:space="preserve">Tabla </w:t>
      </w:r>
      <w:fldSimple w:instr=" SEQ Tabla \* ARABIC ">
        <w:r w:rsidR="00C809F5">
          <w:rPr>
            <w:noProof/>
          </w:rPr>
          <w:t>4</w:t>
        </w:r>
      </w:fldSimple>
      <w:r>
        <w:t xml:space="preserve"> P</w:t>
      </w:r>
      <w:r w:rsidR="0055773D">
        <w:t>otencias promediadas de los puntos de medición.</w:t>
      </w:r>
      <w:bookmarkEnd w:id="1"/>
    </w:p>
    <w:tbl>
      <w:tblPr>
        <w:tblW w:w="0" w:type="auto"/>
        <w:jc w:val="center"/>
        <w:tblInd w:w="56" w:type="dxa"/>
        <w:tblCellMar>
          <w:left w:w="70" w:type="dxa"/>
          <w:right w:w="70" w:type="dxa"/>
        </w:tblCellMar>
        <w:tblLook w:val="04A0" w:firstRow="1" w:lastRow="0" w:firstColumn="1" w:lastColumn="0" w:noHBand="0" w:noVBand="1"/>
      </w:tblPr>
      <w:tblGrid>
        <w:gridCol w:w="2027"/>
        <w:gridCol w:w="1559"/>
        <w:gridCol w:w="1985"/>
        <w:gridCol w:w="1964"/>
      </w:tblGrid>
      <w:tr w:rsidR="0055773D" w:rsidRPr="00C84D4D" w:rsidTr="0055773D">
        <w:trPr>
          <w:trHeight w:val="585"/>
          <w:jc w:val="center"/>
        </w:trPr>
        <w:tc>
          <w:tcPr>
            <w:tcW w:w="2027" w:type="dxa"/>
            <w:tcBorders>
              <w:top w:val="single" w:sz="4" w:space="0" w:color="auto"/>
              <w:left w:val="single" w:sz="4" w:space="0" w:color="auto"/>
              <w:bottom w:val="single" w:sz="4" w:space="0" w:color="auto"/>
              <w:right w:val="single" w:sz="4" w:space="0" w:color="auto"/>
            </w:tcBorders>
            <w:shd w:val="clear" w:color="auto" w:fill="auto"/>
            <w:hideMark/>
          </w:tcPr>
          <w:p w:rsidR="0055773D" w:rsidRPr="00CA7AF1" w:rsidRDefault="0055773D" w:rsidP="00C809F5">
            <w:pPr>
              <w:spacing w:after="0" w:line="240" w:lineRule="auto"/>
              <w:jc w:val="center"/>
              <w:rPr>
                <w:rFonts w:ascii="Calibri" w:eastAsia="Times New Roman" w:hAnsi="Calibri" w:cs="Calibri"/>
                <w:b/>
                <w:color w:val="000000"/>
                <w:sz w:val="18"/>
                <w:szCs w:val="18"/>
                <w:lang w:eastAsia="es-ES"/>
              </w:rPr>
            </w:pPr>
            <w:r w:rsidRPr="00CA7AF1">
              <w:rPr>
                <w:rFonts w:ascii="Calibri" w:eastAsia="Times New Roman" w:hAnsi="Calibri" w:cs="Calibri"/>
                <w:b/>
                <w:color w:val="000000"/>
                <w:sz w:val="18"/>
                <w:szCs w:val="18"/>
                <w:lang w:val="es-CR" w:eastAsia="es-ES"/>
              </w:rPr>
              <w:t>Punto de medición</w:t>
            </w:r>
          </w:p>
        </w:tc>
        <w:tc>
          <w:tcPr>
            <w:tcW w:w="1559" w:type="dxa"/>
            <w:tcBorders>
              <w:top w:val="single" w:sz="4" w:space="0" w:color="auto"/>
              <w:left w:val="nil"/>
              <w:bottom w:val="single" w:sz="4" w:space="0" w:color="auto"/>
              <w:right w:val="single" w:sz="4" w:space="0" w:color="auto"/>
            </w:tcBorders>
            <w:shd w:val="clear" w:color="auto" w:fill="auto"/>
            <w:hideMark/>
          </w:tcPr>
          <w:p w:rsidR="0055773D" w:rsidRPr="00CA7AF1" w:rsidRDefault="0055773D" w:rsidP="00C809F5">
            <w:pPr>
              <w:spacing w:after="0" w:line="240" w:lineRule="auto"/>
              <w:jc w:val="center"/>
              <w:rPr>
                <w:rFonts w:ascii="Calibri" w:eastAsia="Times New Roman" w:hAnsi="Calibri" w:cs="Calibri"/>
                <w:b/>
                <w:color w:val="000000"/>
                <w:sz w:val="18"/>
                <w:szCs w:val="18"/>
                <w:lang w:eastAsia="es-ES"/>
              </w:rPr>
            </w:pPr>
            <w:r w:rsidRPr="00CA7AF1">
              <w:rPr>
                <w:rFonts w:ascii="Calibri" w:eastAsia="Times New Roman" w:hAnsi="Calibri" w:cs="Calibri"/>
                <w:b/>
                <w:color w:val="000000"/>
                <w:sz w:val="18"/>
                <w:szCs w:val="18"/>
                <w:lang w:val="es-CR" w:eastAsia="es-ES"/>
              </w:rPr>
              <w:t>Potencia activa promedio (kW)</w:t>
            </w:r>
          </w:p>
        </w:tc>
        <w:tc>
          <w:tcPr>
            <w:tcW w:w="1985" w:type="dxa"/>
            <w:tcBorders>
              <w:top w:val="single" w:sz="4" w:space="0" w:color="auto"/>
              <w:left w:val="nil"/>
              <w:bottom w:val="single" w:sz="4" w:space="0" w:color="auto"/>
              <w:right w:val="single" w:sz="4" w:space="0" w:color="auto"/>
            </w:tcBorders>
            <w:shd w:val="clear" w:color="auto" w:fill="auto"/>
            <w:hideMark/>
          </w:tcPr>
          <w:p w:rsidR="0055773D" w:rsidRPr="00CA7AF1" w:rsidRDefault="0055773D" w:rsidP="00C809F5">
            <w:pPr>
              <w:spacing w:after="0" w:line="240" w:lineRule="auto"/>
              <w:jc w:val="center"/>
              <w:rPr>
                <w:rFonts w:ascii="Calibri" w:eastAsia="Times New Roman" w:hAnsi="Calibri" w:cs="Calibri"/>
                <w:b/>
                <w:color w:val="000000"/>
                <w:sz w:val="18"/>
                <w:szCs w:val="18"/>
                <w:lang w:eastAsia="es-ES"/>
              </w:rPr>
            </w:pPr>
            <w:r w:rsidRPr="00CA7AF1">
              <w:rPr>
                <w:rFonts w:ascii="Calibri" w:eastAsia="Times New Roman" w:hAnsi="Calibri" w:cs="Calibri"/>
                <w:b/>
                <w:color w:val="000000"/>
                <w:sz w:val="18"/>
                <w:szCs w:val="18"/>
                <w:lang w:val="es-CR" w:eastAsia="es-ES"/>
              </w:rPr>
              <w:t>Potencia Reactiva promedio (</w:t>
            </w:r>
            <w:proofErr w:type="spellStart"/>
            <w:r w:rsidRPr="00CA7AF1">
              <w:rPr>
                <w:rFonts w:ascii="Calibri" w:eastAsia="Times New Roman" w:hAnsi="Calibri" w:cs="Calibri"/>
                <w:b/>
                <w:color w:val="000000"/>
                <w:sz w:val="18"/>
                <w:szCs w:val="18"/>
                <w:lang w:val="es-CR" w:eastAsia="es-ES"/>
              </w:rPr>
              <w:t>kVAR</w:t>
            </w:r>
            <w:proofErr w:type="spellEnd"/>
            <w:r w:rsidRPr="00CA7AF1">
              <w:rPr>
                <w:rFonts w:ascii="Calibri" w:eastAsia="Times New Roman" w:hAnsi="Calibri" w:cs="Calibri"/>
                <w:b/>
                <w:color w:val="000000"/>
                <w:sz w:val="18"/>
                <w:szCs w:val="18"/>
                <w:lang w:val="es-CR" w:eastAsia="es-ES"/>
              </w:rPr>
              <w:t>)</w:t>
            </w:r>
          </w:p>
        </w:tc>
        <w:tc>
          <w:tcPr>
            <w:tcW w:w="1964" w:type="dxa"/>
            <w:tcBorders>
              <w:top w:val="single" w:sz="4" w:space="0" w:color="auto"/>
              <w:left w:val="nil"/>
              <w:bottom w:val="single" w:sz="4" w:space="0" w:color="auto"/>
              <w:right w:val="single" w:sz="4" w:space="0" w:color="auto"/>
            </w:tcBorders>
            <w:shd w:val="clear" w:color="auto" w:fill="auto"/>
            <w:hideMark/>
          </w:tcPr>
          <w:p w:rsidR="0055773D" w:rsidRPr="00CA7AF1" w:rsidRDefault="0055773D" w:rsidP="00C809F5">
            <w:pPr>
              <w:spacing w:after="0" w:line="240" w:lineRule="auto"/>
              <w:jc w:val="center"/>
              <w:rPr>
                <w:rFonts w:ascii="Calibri" w:eastAsia="Times New Roman" w:hAnsi="Calibri" w:cs="Calibri"/>
                <w:b/>
                <w:color w:val="000000"/>
                <w:sz w:val="18"/>
                <w:szCs w:val="18"/>
                <w:lang w:eastAsia="es-ES"/>
              </w:rPr>
            </w:pPr>
            <w:r w:rsidRPr="00CA7AF1">
              <w:rPr>
                <w:rFonts w:ascii="Calibri" w:eastAsia="Times New Roman" w:hAnsi="Calibri" w:cs="Calibri"/>
                <w:b/>
                <w:color w:val="000000"/>
                <w:sz w:val="18"/>
                <w:szCs w:val="18"/>
                <w:lang w:val="es-CR" w:eastAsia="es-ES"/>
              </w:rPr>
              <w:t>Potencia Aparente promedio (kVA)</w:t>
            </w:r>
          </w:p>
        </w:tc>
      </w:tr>
      <w:tr w:rsidR="0055773D" w:rsidRPr="00C84D4D" w:rsidTr="0055773D">
        <w:trPr>
          <w:trHeight w:val="504"/>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Bodega de contenedores refrigerados</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31,7</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27,4</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42,2</w:t>
            </w:r>
          </w:p>
        </w:tc>
      </w:tr>
      <w:tr w:rsidR="0055773D" w:rsidRPr="00C84D4D" w:rsidTr="0055773D">
        <w:trPr>
          <w:trHeight w:val="3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Bodega 1</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45,5</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19,3</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50,6</w:t>
            </w:r>
          </w:p>
        </w:tc>
      </w:tr>
      <w:tr w:rsidR="0055773D" w:rsidRPr="00C84D4D" w:rsidTr="0055773D">
        <w:trPr>
          <w:trHeight w:val="3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Bodega 2</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24,9</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28,7</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39,6</w:t>
            </w:r>
          </w:p>
        </w:tc>
      </w:tr>
      <w:tr w:rsidR="0055773D" w:rsidRPr="00C84D4D" w:rsidTr="0055773D">
        <w:trPr>
          <w:trHeight w:val="6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Área de talleres y mantenimiento</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12,5</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6,7</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14,7</w:t>
            </w:r>
          </w:p>
        </w:tc>
      </w:tr>
      <w:tr w:rsidR="0055773D" w:rsidRPr="00C84D4D" w:rsidTr="0055773D">
        <w:trPr>
          <w:trHeight w:val="6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Edificio administrativo</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63,3</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12,5</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64,1</w:t>
            </w:r>
          </w:p>
        </w:tc>
      </w:tr>
      <w:tr w:rsidR="0055773D" w:rsidRPr="00C84D4D" w:rsidTr="0055773D">
        <w:trPr>
          <w:trHeight w:val="3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Comedor</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13,6</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8,5</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16,8</w:t>
            </w:r>
          </w:p>
        </w:tc>
      </w:tr>
      <w:tr w:rsidR="0055773D" w:rsidRPr="00C84D4D" w:rsidTr="0055773D">
        <w:trPr>
          <w:trHeight w:val="3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Tablero INCOP</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77,5</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14,9</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79,2</w:t>
            </w:r>
          </w:p>
        </w:tc>
      </w:tr>
      <w:tr w:rsidR="0055773D" w:rsidRPr="00C84D4D" w:rsidTr="0055773D">
        <w:trPr>
          <w:trHeight w:val="300"/>
          <w:jc w:val="center"/>
        </w:trPr>
        <w:tc>
          <w:tcPr>
            <w:tcW w:w="2027" w:type="dxa"/>
            <w:tcBorders>
              <w:top w:val="single" w:sz="4" w:space="0" w:color="auto"/>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val="es-CR" w:eastAsia="es-ES"/>
              </w:rPr>
            </w:pPr>
            <w:r>
              <w:rPr>
                <w:rFonts w:ascii="Calibri" w:eastAsia="Times New Roman" w:hAnsi="Calibri" w:cs="Calibri"/>
                <w:color w:val="000000"/>
                <w:sz w:val="18"/>
                <w:szCs w:val="18"/>
                <w:lang w:val="es-CR" w:eastAsia="es-ES"/>
              </w:rPr>
              <w:t>Total</w:t>
            </w:r>
          </w:p>
        </w:tc>
        <w:tc>
          <w:tcPr>
            <w:tcW w:w="1559" w:type="dxa"/>
            <w:tcBorders>
              <w:top w:val="single" w:sz="4" w:space="0" w:color="auto"/>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269</w:t>
            </w:r>
          </w:p>
        </w:tc>
        <w:tc>
          <w:tcPr>
            <w:tcW w:w="1985" w:type="dxa"/>
            <w:tcBorders>
              <w:top w:val="single" w:sz="4" w:space="0" w:color="auto"/>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118</w:t>
            </w:r>
          </w:p>
        </w:tc>
        <w:tc>
          <w:tcPr>
            <w:tcW w:w="1964" w:type="dxa"/>
            <w:tcBorders>
              <w:top w:val="single" w:sz="4" w:space="0" w:color="auto"/>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307,2</w:t>
            </w:r>
          </w:p>
        </w:tc>
      </w:tr>
    </w:tbl>
    <w:p w:rsidR="00103DA4" w:rsidRDefault="00103DA4"/>
    <w:p w:rsidR="0055773D" w:rsidRDefault="00F10FBF">
      <w:r>
        <w:t>Al estimar el factor de potencia total se obtiene que es</w:t>
      </w:r>
      <w:r w:rsidR="00363982">
        <w:t xml:space="preserve">igual a </w:t>
      </w:r>
      <w:r>
        <w:t>0,875.</w:t>
      </w:r>
      <w:r w:rsidR="000D2F4C">
        <w:t xml:space="preserve"> Este valor es similar al promedio mensual estimado por el medidor del ICE. </w:t>
      </w:r>
    </w:p>
    <w:p w:rsidR="000D2F4C" w:rsidRDefault="000D2F4C">
      <w:r>
        <w:t>Basados en los recibos del mes de Agosto, Setiembre y Octubre del 2012 se tiene que el pago por recargo del factor de potencia es de 56432, 55268 y 17282. Al promediar estos valores obtenemos 42994 colones. Lo que equivale al 0,25 % del costo promedio total (17149366</w:t>
      </w:r>
      <w:r w:rsidR="00EB7FDF">
        <w:t xml:space="preserve"> colones</w:t>
      </w:r>
      <w:r>
        <w:t>).</w:t>
      </w:r>
    </w:p>
    <w:p w:rsidR="00AA7B02" w:rsidRDefault="00E02157">
      <w:r>
        <w:t>Esto implica que la ganancia estimada por realizar corrección del factor de potencia por multa seria de aproximadamente 515 928 colones anuales</w:t>
      </w:r>
      <w:r w:rsidR="00AA7B02">
        <w:t xml:space="preserve">, los cuales se rebajarían de los cobros del ICE. </w:t>
      </w:r>
    </w:p>
    <w:p w:rsidR="00E02157" w:rsidRDefault="00AA7B02">
      <w:r>
        <w:t xml:space="preserve"> De forma que la necesidad de instalar bancos de capacitores repercutiría en generar una mejor calidad de energía para los sistemas en funciona</w:t>
      </w:r>
      <w:r w:rsidR="00433D64">
        <w:t>m</w:t>
      </w:r>
      <w:r>
        <w:t xml:space="preserve">iento. </w:t>
      </w:r>
    </w:p>
    <w:p w:rsidR="00FA2C4E" w:rsidRDefault="00FA2C4E">
      <w:r>
        <w:t xml:space="preserve">La siguiente tabla muestra los valores de potencia reactiva </w:t>
      </w:r>
      <w:r w:rsidR="00363982">
        <w:t>a suplir</w:t>
      </w:r>
      <w:r>
        <w:t xml:space="preserve"> en cada uno de los puntos para cumplir con el factor de potencia necesario. </w:t>
      </w:r>
    </w:p>
    <w:p w:rsidR="00FA2C4E" w:rsidRDefault="00363982" w:rsidP="00363982">
      <w:pPr>
        <w:pStyle w:val="Epgrafe"/>
      </w:pPr>
      <w:r>
        <w:lastRenderedPageBreak/>
        <w:t xml:space="preserve">Tabla </w:t>
      </w:r>
      <w:fldSimple w:instr=" SEQ Tabla \* ARABIC ">
        <w:r w:rsidR="00C809F5">
          <w:rPr>
            <w:noProof/>
          </w:rPr>
          <w:t>5</w:t>
        </w:r>
      </w:fldSimple>
      <w:r>
        <w:t xml:space="preserve"> Valor estimado de reactivo requerido en los puntos de medición.</w:t>
      </w:r>
    </w:p>
    <w:tbl>
      <w:tblPr>
        <w:tblW w:w="7660" w:type="dxa"/>
        <w:tblInd w:w="55" w:type="dxa"/>
        <w:tblCellMar>
          <w:left w:w="70" w:type="dxa"/>
          <w:right w:w="70" w:type="dxa"/>
        </w:tblCellMar>
        <w:tblLook w:val="04A0" w:firstRow="1" w:lastRow="0" w:firstColumn="1" w:lastColumn="0" w:noHBand="0" w:noVBand="1"/>
      </w:tblPr>
      <w:tblGrid>
        <w:gridCol w:w="1780"/>
        <w:gridCol w:w="2940"/>
        <w:gridCol w:w="2940"/>
      </w:tblGrid>
      <w:tr w:rsidR="00C246A3" w:rsidRPr="00433D64" w:rsidTr="00C246A3">
        <w:trPr>
          <w:trHeight w:val="473"/>
        </w:trPr>
        <w:tc>
          <w:tcPr>
            <w:tcW w:w="1780" w:type="dxa"/>
            <w:tcBorders>
              <w:top w:val="single" w:sz="4" w:space="0" w:color="auto"/>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Lugar</w:t>
            </w:r>
          </w:p>
        </w:tc>
        <w:tc>
          <w:tcPr>
            <w:tcW w:w="2940" w:type="dxa"/>
            <w:tcBorders>
              <w:top w:val="single" w:sz="4" w:space="0" w:color="auto"/>
              <w:left w:val="nil"/>
              <w:bottom w:val="single" w:sz="4" w:space="0" w:color="auto"/>
              <w:right w:val="single" w:sz="4" w:space="0" w:color="auto"/>
            </w:tcBorders>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Potencia reactiva máxima a incorporar (</w:t>
            </w:r>
            <w:proofErr w:type="spellStart"/>
            <w:r w:rsidRPr="00433D64">
              <w:rPr>
                <w:rFonts w:ascii="Calibri" w:eastAsia="Times New Roman" w:hAnsi="Calibri" w:cs="Calibri"/>
                <w:color w:val="000000"/>
                <w:lang w:eastAsia="es-ES"/>
              </w:rPr>
              <w:t>kVAR</w:t>
            </w:r>
            <w:proofErr w:type="spellEnd"/>
            <w:r w:rsidRPr="00433D64">
              <w:rPr>
                <w:rFonts w:ascii="Calibri" w:eastAsia="Times New Roman" w:hAnsi="Calibri" w:cs="Calibri"/>
                <w:color w:val="000000"/>
                <w:lang w:eastAsia="es-ES"/>
              </w:rPr>
              <w:t>)</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 xml:space="preserve">Potencia reactiva </w:t>
            </w:r>
            <w:r>
              <w:rPr>
                <w:rFonts w:ascii="Calibri" w:eastAsia="Times New Roman" w:hAnsi="Calibri" w:cs="Calibri"/>
                <w:color w:val="000000"/>
                <w:lang w:eastAsia="es-ES"/>
              </w:rPr>
              <w:t>promedio</w:t>
            </w:r>
            <w:r w:rsidRPr="00433D64">
              <w:rPr>
                <w:rFonts w:ascii="Calibri" w:eastAsia="Times New Roman" w:hAnsi="Calibri" w:cs="Calibri"/>
                <w:color w:val="000000"/>
                <w:lang w:eastAsia="es-ES"/>
              </w:rPr>
              <w:t xml:space="preserve"> a incorporar (</w:t>
            </w:r>
            <w:proofErr w:type="spellStart"/>
            <w:r w:rsidRPr="00433D64">
              <w:rPr>
                <w:rFonts w:ascii="Calibri" w:eastAsia="Times New Roman" w:hAnsi="Calibri" w:cs="Calibri"/>
                <w:color w:val="000000"/>
                <w:lang w:eastAsia="es-ES"/>
              </w:rPr>
              <w:t>kVAR</w:t>
            </w:r>
            <w:proofErr w:type="spellEnd"/>
            <w:r w:rsidRPr="00433D64">
              <w:rPr>
                <w:rFonts w:ascii="Calibri" w:eastAsia="Times New Roman" w:hAnsi="Calibri" w:cs="Calibri"/>
                <w:color w:val="000000"/>
                <w:lang w:eastAsia="es-ES"/>
              </w:rPr>
              <w:t>)</w:t>
            </w:r>
          </w:p>
        </w:tc>
      </w:tr>
      <w:tr w:rsidR="00C246A3" w:rsidRPr="00433D64" w:rsidTr="00C246A3">
        <w:trPr>
          <w:trHeight w:val="90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de contenedores refrigerados.</w:t>
            </w:r>
          </w:p>
        </w:tc>
        <w:tc>
          <w:tcPr>
            <w:tcW w:w="2940" w:type="dxa"/>
            <w:tcBorders>
              <w:top w:val="single" w:sz="4" w:space="0" w:color="auto"/>
              <w:left w:val="nil"/>
              <w:bottom w:val="single" w:sz="4" w:space="0" w:color="auto"/>
              <w:right w:val="single" w:sz="4" w:space="0" w:color="auto"/>
            </w:tcBorders>
          </w:tcPr>
          <w:p w:rsidR="00041C5B" w:rsidRDefault="00041C5B" w:rsidP="00041C5B">
            <w:pPr>
              <w:spacing w:after="0" w:line="240" w:lineRule="auto"/>
              <w:jc w:val="center"/>
              <w:rPr>
                <w:rFonts w:ascii="Calibri" w:eastAsia="Times New Roman" w:hAnsi="Calibri" w:cs="Calibri"/>
                <w:color w:val="000000"/>
                <w:lang w:eastAsia="es-ES"/>
              </w:rPr>
            </w:pPr>
          </w:p>
          <w:p w:rsidR="00041C5B" w:rsidRDefault="00041C5B" w:rsidP="00041C5B">
            <w:pPr>
              <w:spacing w:after="0" w:line="240" w:lineRule="auto"/>
              <w:jc w:val="center"/>
              <w:rPr>
                <w:rFonts w:ascii="Calibri" w:eastAsia="Times New Roman" w:hAnsi="Calibri" w:cs="Calibri"/>
                <w:color w:val="000000"/>
                <w:lang w:eastAsia="es-ES"/>
              </w:rPr>
            </w:pPr>
          </w:p>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57,1</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17</w:t>
            </w:r>
          </w:p>
        </w:tc>
      </w:tr>
      <w:tr w:rsidR="00C246A3" w:rsidRPr="00433D64" w:rsidTr="00C246A3">
        <w:trPr>
          <w:trHeight w:val="30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1</w:t>
            </w:r>
          </w:p>
        </w:tc>
        <w:tc>
          <w:tcPr>
            <w:tcW w:w="2940" w:type="dxa"/>
            <w:tcBorders>
              <w:top w:val="single" w:sz="4" w:space="0" w:color="auto"/>
              <w:left w:val="nil"/>
              <w:bottom w:val="single" w:sz="4" w:space="0" w:color="auto"/>
              <w:right w:val="single" w:sz="4" w:space="0" w:color="auto"/>
            </w:tcBorders>
          </w:tcPr>
          <w:p w:rsidR="00C246A3" w:rsidRPr="00433D64" w:rsidRDefault="00041C5B"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E47D9C"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r>
      <w:tr w:rsidR="00C246A3" w:rsidRPr="00433D64" w:rsidTr="00C246A3">
        <w:trPr>
          <w:trHeight w:val="30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2</w:t>
            </w:r>
          </w:p>
        </w:tc>
        <w:tc>
          <w:tcPr>
            <w:tcW w:w="2940" w:type="dxa"/>
            <w:tcBorders>
              <w:top w:val="single" w:sz="4" w:space="0" w:color="auto"/>
              <w:left w:val="nil"/>
              <w:bottom w:val="single" w:sz="4" w:space="0" w:color="auto"/>
              <w:right w:val="single" w:sz="4" w:space="0" w:color="auto"/>
            </w:tcBorders>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32,4</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20,5</w:t>
            </w:r>
          </w:p>
        </w:tc>
      </w:tr>
      <w:tr w:rsidR="00C246A3" w:rsidRPr="00433D64" w:rsidTr="00C246A3">
        <w:trPr>
          <w:trHeight w:val="60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Área de mantenimiento</w:t>
            </w:r>
          </w:p>
        </w:tc>
        <w:tc>
          <w:tcPr>
            <w:tcW w:w="2940" w:type="dxa"/>
            <w:tcBorders>
              <w:top w:val="single" w:sz="4" w:space="0" w:color="auto"/>
              <w:left w:val="nil"/>
              <w:bottom w:val="single" w:sz="4" w:space="0" w:color="auto"/>
              <w:right w:val="single" w:sz="4" w:space="0" w:color="auto"/>
            </w:tcBorders>
          </w:tcPr>
          <w:p w:rsidR="006A0DA4" w:rsidRDefault="006A0DA4" w:rsidP="00041C5B">
            <w:pPr>
              <w:spacing w:after="0" w:line="240" w:lineRule="auto"/>
              <w:jc w:val="center"/>
              <w:rPr>
                <w:rFonts w:ascii="Calibri" w:eastAsia="Times New Roman" w:hAnsi="Calibri" w:cs="Calibri"/>
                <w:color w:val="000000"/>
                <w:lang w:eastAsia="es-ES"/>
              </w:rPr>
            </w:pPr>
          </w:p>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6,53</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2,6</w:t>
            </w:r>
          </w:p>
        </w:tc>
      </w:tr>
      <w:tr w:rsidR="00C246A3" w:rsidRPr="00433D64" w:rsidTr="00C246A3">
        <w:trPr>
          <w:trHeight w:val="315"/>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Comedor</w:t>
            </w:r>
          </w:p>
        </w:tc>
        <w:tc>
          <w:tcPr>
            <w:tcW w:w="2940" w:type="dxa"/>
            <w:tcBorders>
              <w:top w:val="single" w:sz="4" w:space="0" w:color="auto"/>
              <w:left w:val="nil"/>
              <w:bottom w:val="single" w:sz="4" w:space="0" w:color="auto"/>
              <w:right w:val="single" w:sz="4" w:space="0" w:color="auto"/>
            </w:tcBorders>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7,9</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4</w:t>
            </w:r>
          </w:p>
        </w:tc>
      </w:tr>
      <w:tr w:rsidR="00C246A3" w:rsidRPr="00433D64" w:rsidTr="00C246A3">
        <w:trPr>
          <w:trHeight w:val="69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Edificio Administrativo</w:t>
            </w:r>
          </w:p>
        </w:tc>
        <w:tc>
          <w:tcPr>
            <w:tcW w:w="2940" w:type="dxa"/>
            <w:tcBorders>
              <w:top w:val="single" w:sz="4" w:space="0" w:color="auto"/>
              <w:left w:val="nil"/>
              <w:bottom w:val="single" w:sz="4" w:space="0" w:color="auto"/>
              <w:right w:val="single" w:sz="4" w:space="0" w:color="auto"/>
            </w:tcBorders>
          </w:tcPr>
          <w:p w:rsidR="006A0DA4" w:rsidRDefault="006A0DA4" w:rsidP="00041C5B">
            <w:pPr>
              <w:spacing w:after="0" w:line="240" w:lineRule="auto"/>
              <w:jc w:val="center"/>
              <w:rPr>
                <w:rFonts w:ascii="Calibri" w:eastAsia="Times New Roman" w:hAnsi="Calibri" w:cs="Calibri"/>
                <w:color w:val="000000"/>
                <w:lang w:eastAsia="es-ES"/>
              </w:rPr>
            </w:pPr>
          </w:p>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N/A</w:t>
            </w:r>
          </w:p>
        </w:tc>
      </w:tr>
      <w:tr w:rsidR="00C246A3" w:rsidRPr="00433D64" w:rsidTr="00C246A3">
        <w:trPr>
          <w:trHeight w:val="39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INCOP</w:t>
            </w:r>
          </w:p>
        </w:tc>
        <w:tc>
          <w:tcPr>
            <w:tcW w:w="2940" w:type="dxa"/>
            <w:tcBorders>
              <w:top w:val="single" w:sz="4" w:space="0" w:color="auto"/>
              <w:left w:val="nil"/>
              <w:bottom w:val="single" w:sz="4" w:space="0" w:color="auto"/>
              <w:right w:val="single" w:sz="4" w:space="0" w:color="auto"/>
            </w:tcBorders>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N/A</w:t>
            </w:r>
          </w:p>
        </w:tc>
      </w:tr>
    </w:tbl>
    <w:p w:rsidR="00433D64" w:rsidRDefault="00433D64"/>
    <w:p w:rsidR="00C246A3" w:rsidRDefault="002472B2">
      <w:r>
        <w:t>Potencia reactiva recomendada:</w:t>
      </w:r>
    </w:p>
    <w:p w:rsidR="00363982" w:rsidRDefault="00363982" w:rsidP="00363982">
      <w:pPr>
        <w:pStyle w:val="Epgrafe"/>
      </w:pPr>
      <w:r>
        <w:t xml:space="preserve">Tabla </w:t>
      </w:r>
      <w:fldSimple w:instr=" SEQ Tabla \* ARABIC ">
        <w:r w:rsidR="00C809F5">
          <w:rPr>
            <w:noProof/>
          </w:rPr>
          <w:t>6</w:t>
        </w:r>
      </w:fldSimple>
      <w:r>
        <w:t xml:space="preserve"> Potencia reactiva recomendada. </w:t>
      </w:r>
    </w:p>
    <w:tbl>
      <w:tblPr>
        <w:tblW w:w="0" w:type="auto"/>
        <w:jc w:val="center"/>
        <w:tblInd w:w="55" w:type="dxa"/>
        <w:tblCellMar>
          <w:left w:w="70" w:type="dxa"/>
          <w:right w:w="70" w:type="dxa"/>
        </w:tblCellMar>
        <w:tblLook w:val="04A0" w:firstRow="1" w:lastRow="0" w:firstColumn="1" w:lastColumn="0" w:noHBand="0" w:noVBand="1"/>
      </w:tblPr>
      <w:tblGrid>
        <w:gridCol w:w="2271"/>
        <w:gridCol w:w="3259"/>
      </w:tblGrid>
      <w:tr w:rsidR="002472B2" w:rsidRPr="00433D64" w:rsidTr="002730F7">
        <w:trPr>
          <w:trHeight w:val="473"/>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Lugar</w:t>
            </w:r>
          </w:p>
        </w:tc>
        <w:tc>
          <w:tcPr>
            <w:tcW w:w="3259" w:type="dxa"/>
            <w:tcBorders>
              <w:top w:val="single" w:sz="4" w:space="0" w:color="auto"/>
              <w:left w:val="nil"/>
              <w:bottom w:val="single" w:sz="4" w:space="0" w:color="auto"/>
              <w:right w:val="single" w:sz="4" w:space="0" w:color="auto"/>
            </w:tcBorders>
          </w:tcPr>
          <w:p w:rsidR="002472B2" w:rsidRPr="00433D64" w:rsidRDefault="002472B2" w:rsidP="002472B2">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Tamaño de banco de capacitores recomendado.</w:t>
            </w:r>
            <w:r w:rsidRPr="00433D64">
              <w:rPr>
                <w:rFonts w:ascii="Calibri" w:eastAsia="Times New Roman" w:hAnsi="Calibri" w:cs="Calibri"/>
                <w:color w:val="000000"/>
                <w:lang w:eastAsia="es-ES"/>
              </w:rPr>
              <w:t>(</w:t>
            </w:r>
            <w:proofErr w:type="spellStart"/>
            <w:r w:rsidRPr="00433D64">
              <w:rPr>
                <w:rFonts w:ascii="Calibri" w:eastAsia="Times New Roman" w:hAnsi="Calibri" w:cs="Calibri"/>
                <w:color w:val="000000"/>
                <w:lang w:eastAsia="es-ES"/>
              </w:rPr>
              <w:t>kVAR</w:t>
            </w:r>
            <w:proofErr w:type="spellEnd"/>
            <w:r w:rsidRPr="00433D64">
              <w:rPr>
                <w:rFonts w:ascii="Calibri" w:eastAsia="Times New Roman" w:hAnsi="Calibri" w:cs="Calibri"/>
                <w:color w:val="000000"/>
                <w:lang w:eastAsia="es-ES"/>
              </w:rPr>
              <w:t>)</w:t>
            </w:r>
          </w:p>
        </w:tc>
      </w:tr>
      <w:tr w:rsidR="002472B2" w:rsidRPr="00433D64" w:rsidTr="002730F7">
        <w:trPr>
          <w:trHeight w:val="900"/>
          <w:jc w:val="center"/>
        </w:trPr>
        <w:tc>
          <w:tcPr>
            <w:tcW w:w="2137" w:type="dxa"/>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de contenedores refrigerados.</w:t>
            </w:r>
          </w:p>
        </w:tc>
        <w:tc>
          <w:tcPr>
            <w:tcW w:w="3259" w:type="dxa"/>
            <w:tcBorders>
              <w:top w:val="single" w:sz="4" w:space="0" w:color="auto"/>
              <w:left w:val="nil"/>
              <w:bottom w:val="single" w:sz="4" w:space="0" w:color="auto"/>
              <w:right w:val="single" w:sz="4" w:space="0" w:color="auto"/>
            </w:tcBorders>
          </w:tcPr>
          <w:p w:rsidR="002472B2" w:rsidRPr="00433D64" w:rsidRDefault="0036398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35</w:t>
            </w:r>
          </w:p>
        </w:tc>
      </w:tr>
      <w:tr w:rsidR="002472B2" w:rsidRPr="00433D64" w:rsidTr="002730F7">
        <w:trPr>
          <w:trHeight w:val="300"/>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1</w:t>
            </w:r>
          </w:p>
        </w:tc>
        <w:tc>
          <w:tcPr>
            <w:tcW w:w="3259" w:type="dxa"/>
            <w:tcBorders>
              <w:top w:val="single" w:sz="4" w:space="0" w:color="auto"/>
              <w:left w:val="nil"/>
              <w:bottom w:val="single" w:sz="4" w:space="0" w:color="auto"/>
              <w:right w:val="single" w:sz="4" w:space="0" w:color="auto"/>
            </w:tcBorders>
          </w:tcPr>
          <w:p w:rsidR="002472B2" w:rsidRPr="00433D64" w:rsidRDefault="002472B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20,4</w:t>
            </w:r>
          </w:p>
        </w:tc>
      </w:tr>
      <w:tr w:rsidR="002472B2" w:rsidRPr="00433D64" w:rsidTr="002730F7">
        <w:trPr>
          <w:trHeight w:val="300"/>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2</w:t>
            </w:r>
          </w:p>
        </w:tc>
        <w:tc>
          <w:tcPr>
            <w:tcW w:w="3259" w:type="dxa"/>
            <w:tcBorders>
              <w:top w:val="single" w:sz="4" w:space="0" w:color="auto"/>
              <w:left w:val="nil"/>
              <w:bottom w:val="single" w:sz="4" w:space="0" w:color="auto"/>
              <w:right w:val="single" w:sz="4" w:space="0" w:color="auto"/>
            </w:tcBorders>
          </w:tcPr>
          <w:p w:rsidR="002472B2" w:rsidRPr="00433D64" w:rsidRDefault="002472B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32,4</w:t>
            </w:r>
          </w:p>
        </w:tc>
      </w:tr>
      <w:tr w:rsidR="002472B2" w:rsidRPr="00433D64" w:rsidTr="006A0DA4">
        <w:trPr>
          <w:trHeight w:val="335"/>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Área de mantenimiento</w:t>
            </w:r>
          </w:p>
        </w:tc>
        <w:tc>
          <w:tcPr>
            <w:tcW w:w="3259" w:type="dxa"/>
            <w:tcBorders>
              <w:top w:val="single" w:sz="4" w:space="0" w:color="auto"/>
              <w:left w:val="nil"/>
              <w:bottom w:val="single" w:sz="4" w:space="0" w:color="auto"/>
              <w:right w:val="single" w:sz="4" w:space="0" w:color="auto"/>
            </w:tcBorders>
          </w:tcPr>
          <w:p w:rsidR="002472B2" w:rsidRPr="00433D64" w:rsidRDefault="0036398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4</w:t>
            </w:r>
          </w:p>
        </w:tc>
      </w:tr>
      <w:tr w:rsidR="002472B2" w:rsidRPr="00433D64" w:rsidTr="002730F7">
        <w:trPr>
          <w:trHeight w:val="315"/>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Comedor</w:t>
            </w:r>
          </w:p>
        </w:tc>
        <w:tc>
          <w:tcPr>
            <w:tcW w:w="3259" w:type="dxa"/>
            <w:tcBorders>
              <w:top w:val="single" w:sz="4" w:space="0" w:color="auto"/>
              <w:left w:val="nil"/>
              <w:bottom w:val="single" w:sz="4" w:space="0" w:color="auto"/>
              <w:right w:val="single" w:sz="4" w:space="0" w:color="auto"/>
            </w:tcBorders>
          </w:tcPr>
          <w:p w:rsidR="002472B2" w:rsidRPr="00433D64" w:rsidRDefault="0036398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5</w:t>
            </w:r>
          </w:p>
        </w:tc>
      </w:tr>
      <w:tr w:rsidR="002472B2" w:rsidRPr="00433D64" w:rsidTr="006A0DA4">
        <w:trPr>
          <w:trHeight w:val="249"/>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Edificio Administrativo</w:t>
            </w:r>
          </w:p>
        </w:tc>
        <w:tc>
          <w:tcPr>
            <w:tcW w:w="3259" w:type="dxa"/>
            <w:tcBorders>
              <w:top w:val="single" w:sz="4" w:space="0" w:color="auto"/>
              <w:left w:val="nil"/>
              <w:bottom w:val="single" w:sz="4" w:space="0" w:color="auto"/>
              <w:right w:val="single" w:sz="4" w:space="0" w:color="auto"/>
            </w:tcBorders>
          </w:tcPr>
          <w:p w:rsidR="002472B2" w:rsidRPr="00433D64" w:rsidRDefault="002472B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r>
      <w:tr w:rsidR="002472B2" w:rsidRPr="00433D64" w:rsidTr="002730F7">
        <w:trPr>
          <w:trHeight w:val="390"/>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INCOP</w:t>
            </w:r>
          </w:p>
        </w:tc>
        <w:tc>
          <w:tcPr>
            <w:tcW w:w="3259" w:type="dxa"/>
            <w:tcBorders>
              <w:top w:val="single" w:sz="4" w:space="0" w:color="auto"/>
              <w:left w:val="nil"/>
              <w:bottom w:val="single" w:sz="4" w:space="0" w:color="auto"/>
              <w:right w:val="single" w:sz="4" w:space="0" w:color="auto"/>
            </w:tcBorders>
          </w:tcPr>
          <w:p w:rsidR="002472B2" w:rsidRPr="00433D64" w:rsidRDefault="002472B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r>
    </w:tbl>
    <w:p w:rsidR="002472B2" w:rsidRDefault="002472B2"/>
    <w:p w:rsidR="00622BB7" w:rsidRDefault="00622BB7">
      <w:r>
        <w:t xml:space="preserve">En el caso de la bodega de contenedores refrigerados agregando un banco de capacitores de </w:t>
      </w:r>
      <w:r w:rsidR="00EF3D34">
        <w:t>9</w:t>
      </w:r>
      <w:r w:rsidR="001779D3">
        <w:t xml:space="preserve"> </w:t>
      </w:r>
      <w:proofErr w:type="spellStart"/>
      <w:r w:rsidR="00E77EDF">
        <w:t>k</w:t>
      </w:r>
      <w:r>
        <w:t>VAR</w:t>
      </w:r>
      <w:proofErr w:type="spellEnd"/>
      <w:r>
        <w:t xml:space="preserve"> por etapa con </w:t>
      </w:r>
      <w:r w:rsidR="009F63D8">
        <w:t>3</w:t>
      </w:r>
      <w:r>
        <w:t xml:space="preserve"> etapas (</w:t>
      </w:r>
      <w:r w:rsidR="00E77EDF">
        <w:t>total</w:t>
      </w:r>
      <w:r w:rsidR="001779D3">
        <w:t xml:space="preserve"> </w:t>
      </w:r>
      <w:r w:rsidR="009F63D8">
        <w:t>27</w:t>
      </w:r>
      <w:r>
        <w:t>kVAR</w:t>
      </w:r>
      <w:r w:rsidR="00E66E37">
        <w:t>,</w:t>
      </w:r>
      <w:r w:rsidR="001779D3">
        <w:t xml:space="preserve"> </w:t>
      </w:r>
      <w:r w:rsidR="009F63D8">
        <w:t>3</w:t>
      </w:r>
      <w:r w:rsidR="00305309">
        <w:t xml:space="preserve"> etapas</w:t>
      </w:r>
      <w:r>
        <w:t>)</w:t>
      </w:r>
      <w:r w:rsidR="00E66E37">
        <w:t>,</w:t>
      </w:r>
      <w:r>
        <w:t xml:space="preserve"> es posible obtener un factor de potencia promedio de 0,9</w:t>
      </w:r>
      <w:r w:rsidR="009F63D8">
        <w:t>1</w:t>
      </w:r>
      <w:r>
        <w:t xml:space="preserve">. </w:t>
      </w:r>
    </w:p>
    <w:p w:rsidR="00AB5DC2" w:rsidRPr="00F21F7B" w:rsidRDefault="00AB5DC2">
      <w:bookmarkStart w:id="2" w:name="_GoBack"/>
      <w:r w:rsidRPr="00F21F7B">
        <w:t>De igual forma para la bodega 2 se recomienda un banco</w:t>
      </w:r>
      <w:r w:rsidR="00E31CA0" w:rsidRPr="00F21F7B">
        <w:t xml:space="preserve"> de capacitores de etapas </w:t>
      </w:r>
      <w:r w:rsidR="00837E01" w:rsidRPr="00F21F7B">
        <w:t xml:space="preserve">de </w:t>
      </w:r>
      <w:r w:rsidR="00837E01" w:rsidRPr="00F21F7B">
        <w:rPr>
          <w:b/>
        </w:rPr>
        <w:t xml:space="preserve">27 </w:t>
      </w:r>
      <w:proofErr w:type="spellStart"/>
      <w:r w:rsidR="00837E01" w:rsidRPr="00F21F7B">
        <w:rPr>
          <w:b/>
        </w:rPr>
        <w:t>kVAr</w:t>
      </w:r>
      <w:proofErr w:type="spellEnd"/>
      <w:r w:rsidR="00837E01" w:rsidRPr="00F21F7B">
        <w:t xml:space="preserve">, En tres etapas de 9 </w:t>
      </w:r>
      <w:proofErr w:type="spellStart"/>
      <w:r w:rsidR="00837E01" w:rsidRPr="00F21F7B">
        <w:t>kVAr</w:t>
      </w:r>
      <w:proofErr w:type="spellEnd"/>
      <w:r w:rsidR="00837E01" w:rsidRPr="00F21F7B">
        <w:t xml:space="preserve"> </w:t>
      </w:r>
      <w:r w:rsidRPr="00F21F7B">
        <w:t>lo que permite obtener un promedio de 0,9</w:t>
      </w:r>
      <w:r w:rsidR="00E66E37" w:rsidRPr="00F21F7B">
        <w:t>34</w:t>
      </w:r>
      <w:r w:rsidRPr="00F21F7B">
        <w:t xml:space="preserve"> de factor de potencia</w:t>
      </w:r>
      <w:r w:rsidR="00B07297" w:rsidRPr="00F21F7B">
        <w:t xml:space="preserve"> (</w:t>
      </w:r>
      <w:r w:rsidR="001779D3" w:rsidRPr="00F21F7B">
        <w:t xml:space="preserve">total 27 </w:t>
      </w:r>
      <w:proofErr w:type="spellStart"/>
      <w:r w:rsidR="00B07297" w:rsidRPr="00F21F7B">
        <w:t>kVAR</w:t>
      </w:r>
      <w:proofErr w:type="spellEnd"/>
      <w:r w:rsidR="00E66E37" w:rsidRPr="00F21F7B">
        <w:t>, 3</w:t>
      </w:r>
      <w:r w:rsidR="00305309" w:rsidRPr="00F21F7B">
        <w:t xml:space="preserve"> etapas</w:t>
      </w:r>
      <w:r w:rsidR="00B07297" w:rsidRPr="00F21F7B">
        <w:t>)</w:t>
      </w:r>
      <w:r w:rsidRPr="00F21F7B">
        <w:t xml:space="preserve">. </w:t>
      </w:r>
    </w:p>
    <w:bookmarkEnd w:id="2"/>
    <w:p w:rsidR="00E47D9C" w:rsidRDefault="00E47D9C">
      <w:r>
        <w:lastRenderedPageBreak/>
        <w:t xml:space="preserve">Para el caso del comedor al instalar un banco de capacitores de 9 </w:t>
      </w:r>
      <w:proofErr w:type="spellStart"/>
      <w:r>
        <w:t>kVAR</w:t>
      </w:r>
      <w:proofErr w:type="spellEnd"/>
      <w:r>
        <w:t xml:space="preserve"> sin etapas se obtiene una corrección del factor de potencia al valor de 0,93. </w:t>
      </w:r>
    </w:p>
    <w:p w:rsidR="006215F4" w:rsidRDefault="006215F4">
      <w:r>
        <w:t xml:space="preserve">Para el área de mantenimiento se recomienda también un banco de capacitores de 9 </w:t>
      </w:r>
      <w:proofErr w:type="spellStart"/>
      <w:r>
        <w:t>kVAR</w:t>
      </w:r>
      <w:proofErr w:type="spellEnd"/>
      <w:r>
        <w:t xml:space="preserve"> sin etapas el cual genera un factor de potencia promedio de </w:t>
      </w:r>
      <w:r w:rsidR="00AD371E">
        <w:t>0,903.</w:t>
      </w:r>
    </w:p>
    <w:p w:rsidR="00AF3CCE" w:rsidRDefault="00AF3CCE">
      <w:r>
        <w:t xml:space="preserve">Para estos dos puntos se recomienda el uso de un banco de capacitores de bajo voltaje igual o superior al modelo </w:t>
      </w:r>
      <w:proofErr w:type="spellStart"/>
      <w:r>
        <w:t>Varset</w:t>
      </w:r>
      <w:proofErr w:type="spellEnd"/>
      <w:r>
        <w:t xml:space="preserve"> de Schneider (VLVAWON Wall-</w:t>
      </w:r>
      <w:proofErr w:type="spellStart"/>
      <w:r>
        <w:t>mounted</w:t>
      </w:r>
      <w:proofErr w:type="spellEnd"/>
      <w:r>
        <w:t>).</w:t>
      </w:r>
    </w:p>
    <w:p w:rsidR="00AD371E" w:rsidRDefault="00AD371E">
      <w:r>
        <w:t xml:space="preserve">El valor de 9 </w:t>
      </w:r>
      <w:proofErr w:type="spellStart"/>
      <w:r>
        <w:t>kVAR</w:t>
      </w:r>
      <w:proofErr w:type="spellEnd"/>
      <w:r>
        <w:t xml:space="preserve"> es el tamaño mínimo de los bancos de transformadores recomendados.</w:t>
      </w:r>
    </w:p>
    <w:p w:rsidR="00AD371E" w:rsidRDefault="00AD371E">
      <w:r>
        <w:t xml:space="preserve">Sin embargo los valores </w:t>
      </w:r>
      <w:r w:rsidR="002D2924">
        <w:t>mínimos requeridos</w:t>
      </w:r>
      <w:r>
        <w:t xml:space="preserve"> son los mostrados en la siguiente tabla:</w:t>
      </w:r>
    </w:p>
    <w:p w:rsidR="00F73912" w:rsidRDefault="00363982" w:rsidP="00363982">
      <w:pPr>
        <w:pStyle w:val="Epgrafe"/>
      </w:pPr>
      <w:r>
        <w:t xml:space="preserve">Tabla </w:t>
      </w:r>
      <w:fldSimple w:instr=" SEQ Tabla \* ARABIC ">
        <w:r w:rsidR="00C809F5">
          <w:rPr>
            <w:noProof/>
          </w:rPr>
          <w:t>7</w:t>
        </w:r>
      </w:fldSimple>
      <w:r w:rsidR="00F73912">
        <w:t>Valores mínimos de potencia reactiva por punto de ubicación.</w:t>
      </w:r>
    </w:p>
    <w:tbl>
      <w:tblPr>
        <w:tblStyle w:val="Tablaconcuadrcula"/>
        <w:tblW w:w="0" w:type="auto"/>
        <w:tblLook w:val="04A0" w:firstRow="1" w:lastRow="0" w:firstColumn="1" w:lastColumn="0" w:noHBand="0" w:noVBand="1"/>
      </w:tblPr>
      <w:tblGrid>
        <w:gridCol w:w="2459"/>
        <w:gridCol w:w="1524"/>
        <w:gridCol w:w="1337"/>
        <w:gridCol w:w="1552"/>
        <w:gridCol w:w="2182"/>
      </w:tblGrid>
      <w:tr w:rsidR="00AD371E" w:rsidTr="00F55B6C">
        <w:tc>
          <w:tcPr>
            <w:tcW w:w="0" w:type="auto"/>
          </w:tcPr>
          <w:p w:rsidR="00AD371E" w:rsidRDefault="00AD371E" w:rsidP="00F55B6C">
            <w:pPr>
              <w:jc w:val="center"/>
            </w:pPr>
            <w:r>
              <w:t>Ubicación</w:t>
            </w:r>
          </w:p>
        </w:tc>
        <w:tc>
          <w:tcPr>
            <w:tcW w:w="0" w:type="auto"/>
          </w:tcPr>
          <w:p w:rsidR="00DB5A1A" w:rsidRDefault="00AD371E" w:rsidP="00F55B6C">
            <w:pPr>
              <w:jc w:val="center"/>
            </w:pPr>
            <w:r>
              <w:t xml:space="preserve">Tamaño </w:t>
            </w:r>
            <w:r w:rsidR="00DB5A1A">
              <w:t xml:space="preserve">total </w:t>
            </w:r>
            <w:r>
              <w:t>del banco</w:t>
            </w:r>
          </w:p>
          <w:p w:rsidR="00AD371E" w:rsidRDefault="00AD371E" w:rsidP="00F55B6C">
            <w:pPr>
              <w:jc w:val="center"/>
            </w:pPr>
            <w:r>
              <w:t>(</w:t>
            </w:r>
            <w:proofErr w:type="spellStart"/>
            <w:r>
              <w:t>kVAR</w:t>
            </w:r>
            <w:proofErr w:type="spellEnd"/>
            <w:r>
              <w:t>)</w:t>
            </w:r>
          </w:p>
        </w:tc>
        <w:tc>
          <w:tcPr>
            <w:tcW w:w="0" w:type="auto"/>
          </w:tcPr>
          <w:p w:rsidR="00AD371E" w:rsidRDefault="00AD371E" w:rsidP="00F55B6C">
            <w:pPr>
              <w:jc w:val="center"/>
            </w:pPr>
            <w:r>
              <w:t>Número de etapas</w:t>
            </w:r>
          </w:p>
        </w:tc>
        <w:tc>
          <w:tcPr>
            <w:tcW w:w="0" w:type="auto"/>
          </w:tcPr>
          <w:p w:rsidR="00DB5A1A" w:rsidRDefault="00AD371E" w:rsidP="00F55B6C">
            <w:pPr>
              <w:jc w:val="center"/>
            </w:pPr>
            <w:r>
              <w:t>P-reactiva de cada etapa</w:t>
            </w:r>
          </w:p>
          <w:p w:rsidR="00AD371E" w:rsidRDefault="00AD371E" w:rsidP="00F55B6C">
            <w:pPr>
              <w:jc w:val="center"/>
            </w:pPr>
            <w:r>
              <w:t>(</w:t>
            </w:r>
            <w:proofErr w:type="spellStart"/>
            <w:r>
              <w:t>kVAR</w:t>
            </w:r>
            <w:proofErr w:type="spellEnd"/>
            <w:r>
              <w:t>)</w:t>
            </w:r>
          </w:p>
        </w:tc>
        <w:tc>
          <w:tcPr>
            <w:tcW w:w="0" w:type="auto"/>
          </w:tcPr>
          <w:p w:rsidR="00AD371E" w:rsidRDefault="00AD371E" w:rsidP="00F55B6C">
            <w:pPr>
              <w:jc w:val="center"/>
            </w:pPr>
            <w:r>
              <w:t>Factor de potencia promedio estimado</w:t>
            </w:r>
          </w:p>
        </w:tc>
      </w:tr>
      <w:tr w:rsidR="00AD371E" w:rsidTr="00F55B6C">
        <w:tc>
          <w:tcPr>
            <w:tcW w:w="0" w:type="auto"/>
          </w:tcPr>
          <w:p w:rsidR="00AD371E" w:rsidRPr="00433D64" w:rsidRDefault="00AD371E" w:rsidP="00F55B6C">
            <w:pPr>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de contenedores refrigerados.</w:t>
            </w:r>
          </w:p>
        </w:tc>
        <w:tc>
          <w:tcPr>
            <w:tcW w:w="0" w:type="auto"/>
          </w:tcPr>
          <w:p w:rsidR="00AD371E" w:rsidRDefault="003A3751" w:rsidP="00F55B6C">
            <w:pPr>
              <w:jc w:val="center"/>
            </w:pPr>
            <w:r>
              <w:t>27</w:t>
            </w:r>
          </w:p>
        </w:tc>
        <w:tc>
          <w:tcPr>
            <w:tcW w:w="0" w:type="auto"/>
          </w:tcPr>
          <w:p w:rsidR="00AD371E" w:rsidRDefault="009051B4" w:rsidP="00F55B6C">
            <w:pPr>
              <w:jc w:val="center"/>
            </w:pPr>
            <w:r>
              <w:t>3</w:t>
            </w:r>
          </w:p>
        </w:tc>
        <w:tc>
          <w:tcPr>
            <w:tcW w:w="0" w:type="auto"/>
          </w:tcPr>
          <w:p w:rsidR="00AD371E" w:rsidRDefault="003A3751" w:rsidP="00F55B6C">
            <w:pPr>
              <w:jc w:val="center"/>
            </w:pPr>
            <w:r>
              <w:t>9</w:t>
            </w:r>
          </w:p>
        </w:tc>
        <w:tc>
          <w:tcPr>
            <w:tcW w:w="0" w:type="auto"/>
          </w:tcPr>
          <w:p w:rsidR="00AD371E" w:rsidRDefault="009051B4" w:rsidP="00F55B6C">
            <w:pPr>
              <w:jc w:val="center"/>
            </w:pPr>
            <w:r>
              <w:t>0,91</w:t>
            </w:r>
          </w:p>
        </w:tc>
      </w:tr>
      <w:tr w:rsidR="00AD371E" w:rsidTr="00F55B6C">
        <w:tc>
          <w:tcPr>
            <w:tcW w:w="0" w:type="auto"/>
          </w:tcPr>
          <w:p w:rsidR="00AD371E" w:rsidRPr="00433D64" w:rsidRDefault="00AD371E" w:rsidP="00701756">
            <w:pPr>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 xml:space="preserve">Bodega </w:t>
            </w:r>
            <w:r w:rsidR="00701756">
              <w:rPr>
                <w:rFonts w:ascii="Calibri" w:eastAsia="Times New Roman" w:hAnsi="Calibri" w:cs="Calibri"/>
                <w:color w:val="000000"/>
                <w:lang w:eastAsia="es-ES"/>
              </w:rPr>
              <w:t>2</w:t>
            </w:r>
          </w:p>
        </w:tc>
        <w:tc>
          <w:tcPr>
            <w:tcW w:w="0" w:type="auto"/>
          </w:tcPr>
          <w:p w:rsidR="00AD371E" w:rsidRDefault="0012115B" w:rsidP="00F55B6C">
            <w:pPr>
              <w:jc w:val="center"/>
            </w:pPr>
            <w:r>
              <w:t>24</w:t>
            </w:r>
          </w:p>
        </w:tc>
        <w:tc>
          <w:tcPr>
            <w:tcW w:w="0" w:type="auto"/>
          </w:tcPr>
          <w:p w:rsidR="00AD371E" w:rsidRDefault="0012115B" w:rsidP="00F55B6C">
            <w:pPr>
              <w:jc w:val="center"/>
            </w:pPr>
            <w:r>
              <w:t>3</w:t>
            </w:r>
          </w:p>
        </w:tc>
        <w:tc>
          <w:tcPr>
            <w:tcW w:w="0" w:type="auto"/>
          </w:tcPr>
          <w:p w:rsidR="00AD371E" w:rsidRDefault="0012115B" w:rsidP="00F55B6C">
            <w:pPr>
              <w:jc w:val="center"/>
            </w:pPr>
            <w:r>
              <w:t>8</w:t>
            </w:r>
          </w:p>
        </w:tc>
        <w:tc>
          <w:tcPr>
            <w:tcW w:w="0" w:type="auto"/>
          </w:tcPr>
          <w:p w:rsidR="00AD371E" w:rsidRDefault="0012115B" w:rsidP="00F55B6C">
            <w:pPr>
              <w:jc w:val="center"/>
            </w:pPr>
            <w:r>
              <w:t>0,91</w:t>
            </w:r>
          </w:p>
        </w:tc>
      </w:tr>
      <w:tr w:rsidR="00AD371E" w:rsidTr="00F55B6C">
        <w:tc>
          <w:tcPr>
            <w:tcW w:w="0" w:type="auto"/>
          </w:tcPr>
          <w:p w:rsidR="00AD371E" w:rsidRPr="00433D64" w:rsidRDefault="00AD371E" w:rsidP="00F55B6C">
            <w:pPr>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Área de mantenimiento</w:t>
            </w:r>
          </w:p>
        </w:tc>
        <w:tc>
          <w:tcPr>
            <w:tcW w:w="0" w:type="auto"/>
          </w:tcPr>
          <w:p w:rsidR="00AD371E" w:rsidRDefault="00CD685B" w:rsidP="00F55B6C">
            <w:pPr>
              <w:jc w:val="center"/>
            </w:pPr>
            <w:r>
              <w:t>1</w:t>
            </w:r>
          </w:p>
        </w:tc>
        <w:tc>
          <w:tcPr>
            <w:tcW w:w="0" w:type="auto"/>
          </w:tcPr>
          <w:p w:rsidR="00AD371E" w:rsidRDefault="00AD371E" w:rsidP="00F55B6C">
            <w:pPr>
              <w:jc w:val="center"/>
            </w:pPr>
            <w:r>
              <w:t>1</w:t>
            </w:r>
          </w:p>
        </w:tc>
        <w:tc>
          <w:tcPr>
            <w:tcW w:w="0" w:type="auto"/>
          </w:tcPr>
          <w:p w:rsidR="00AD371E" w:rsidRDefault="00CD685B" w:rsidP="00F55B6C">
            <w:pPr>
              <w:jc w:val="center"/>
            </w:pPr>
            <w:r>
              <w:t>1</w:t>
            </w:r>
          </w:p>
        </w:tc>
        <w:tc>
          <w:tcPr>
            <w:tcW w:w="0" w:type="auto"/>
          </w:tcPr>
          <w:p w:rsidR="00AD371E" w:rsidRDefault="00CD685B" w:rsidP="00F55B6C">
            <w:pPr>
              <w:jc w:val="center"/>
            </w:pPr>
            <w:r>
              <w:t>0,90</w:t>
            </w:r>
          </w:p>
          <w:p w:rsidR="00AD371E" w:rsidRDefault="00AD371E" w:rsidP="00F55B6C">
            <w:pPr>
              <w:jc w:val="center"/>
            </w:pPr>
          </w:p>
        </w:tc>
      </w:tr>
      <w:tr w:rsidR="00AD371E" w:rsidTr="00F55B6C">
        <w:tc>
          <w:tcPr>
            <w:tcW w:w="0" w:type="auto"/>
          </w:tcPr>
          <w:p w:rsidR="00AD371E" w:rsidRPr="00433D64" w:rsidRDefault="00AD371E" w:rsidP="00F55B6C">
            <w:pPr>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Comedor</w:t>
            </w:r>
          </w:p>
        </w:tc>
        <w:tc>
          <w:tcPr>
            <w:tcW w:w="0" w:type="auto"/>
          </w:tcPr>
          <w:p w:rsidR="00AD371E" w:rsidRDefault="00021FF7" w:rsidP="00F55B6C">
            <w:pPr>
              <w:jc w:val="center"/>
            </w:pPr>
            <w:r>
              <w:t>3,5</w:t>
            </w:r>
          </w:p>
        </w:tc>
        <w:tc>
          <w:tcPr>
            <w:tcW w:w="0" w:type="auto"/>
          </w:tcPr>
          <w:p w:rsidR="00AD371E" w:rsidRDefault="00021FF7" w:rsidP="00F55B6C">
            <w:pPr>
              <w:jc w:val="center"/>
            </w:pPr>
            <w:r>
              <w:t>1</w:t>
            </w:r>
          </w:p>
        </w:tc>
        <w:tc>
          <w:tcPr>
            <w:tcW w:w="0" w:type="auto"/>
          </w:tcPr>
          <w:p w:rsidR="00AD371E" w:rsidRDefault="00021FF7" w:rsidP="00F55B6C">
            <w:pPr>
              <w:jc w:val="center"/>
            </w:pPr>
            <w:r>
              <w:t>3,5</w:t>
            </w:r>
          </w:p>
        </w:tc>
        <w:tc>
          <w:tcPr>
            <w:tcW w:w="0" w:type="auto"/>
          </w:tcPr>
          <w:p w:rsidR="00AD371E" w:rsidRDefault="00021FF7" w:rsidP="00F55B6C">
            <w:pPr>
              <w:jc w:val="center"/>
            </w:pPr>
            <w:r>
              <w:t>0,9</w:t>
            </w:r>
          </w:p>
        </w:tc>
      </w:tr>
    </w:tbl>
    <w:p w:rsidR="00D90266" w:rsidRDefault="00D90266"/>
    <w:p w:rsidR="00701756" w:rsidRPr="00701756" w:rsidRDefault="00701756">
      <w:pPr>
        <w:rPr>
          <w:rFonts w:asciiTheme="majorHAnsi" w:eastAsiaTheme="majorEastAsia" w:hAnsiTheme="majorHAnsi" w:cstheme="majorBidi"/>
          <w:b/>
          <w:bCs/>
          <w:color w:val="365F91" w:themeColor="accent1" w:themeShade="BF"/>
          <w:sz w:val="28"/>
          <w:szCs w:val="28"/>
          <w:lang w:val="es-CR" w:eastAsia="es-CR"/>
        </w:rPr>
      </w:pPr>
      <w:r w:rsidRPr="00701756">
        <w:rPr>
          <w:rFonts w:asciiTheme="majorHAnsi" w:eastAsiaTheme="majorEastAsia" w:hAnsiTheme="majorHAnsi" w:cstheme="majorBidi"/>
          <w:b/>
          <w:bCs/>
          <w:color w:val="365F91" w:themeColor="accent1" w:themeShade="BF"/>
          <w:sz w:val="28"/>
          <w:szCs w:val="28"/>
          <w:lang w:val="es-CR" w:eastAsia="es-CR"/>
        </w:rPr>
        <w:t>Conclusiones</w:t>
      </w:r>
    </w:p>
    <w:p w:rsidR="00701756" w:rsidRDefault="00701756" w:rsidP="00701756">
      <w:pPr>
        <w:pStyle w:val="Prrafodelista"/>
        <w:numPr>
          <w:ilvl w:val="0"/>
          <w:numId w:val="6"/>
        </w:numPr>
      </w:pPr>
      <w:r>
        <w:t xml:space="preserve">El sistema general de las instalaciones eléctricas de la SPC, requiere de bancos de corrección de factor de potencia </w:t>
      </w:r>
      <w:r w:rsidR="00B74528">
        <w:t>para</w:t>
      </w:r>
      <w:r>
        <w:t xml:space="preserve"> las acometidas de bodega de contenedores refrigerados, la bodega 2, el comedor y el área de mantenimiento. </w:t>
      </w:r>
    </w:p>
    <w:p w:rsidR="00701756" w:rsidRDefault="00701756" w:rsidP="00701756">
      <w:pPr>
        <w:pStyle w:val="Prrafodelista"/>
        <w:numPr>
          <w:ilvl w:val="0"/>
          <w:numId w:val="6"/>
        </w:numPr>
      </w:pPr>
      <w:r>
        <w:t>En este caso la corrección de factor de potencia no es requerida para reducir costos en facturación eléctrica, ya que estos representan solamente el 0,25% de la factura total.</w:t>
      </w:r>
    </w:p>
    <w:p w:rsidR="00B74528" w:rsidRPr="00B74528" w:rsidRDefault="00B74528" w:rsidP="00B74528">
      <w:pPr>
        <w:rPr>
          <w:rFonts w:asciiTheme="majorHAnsi" w:eastAsiaTheme="majorEastAsia" w:hAnsiTheme="majorHAnsi" w:cstheme="majorBidi"/>
          <w:b/>
          <w:bCs/>
          <w:color w:val="365F91" w:themeColor="accent1" w:themeShade="BF"/>
          <w:sz w:val="28"/>
          <w:szCs w:val="28"/>
          <w:lang w:val="es-CR" w:eastAsia="es-CR"/>
        </w:rPr>
      </w:pPr>
      <w:r>
        <w:rPr>
          <w:rFonts w:asciiTheme="majorHAnsi" w:eastAsiaTheme="majorEastAsia" w:hAnsiTheme="majorHAnsi" w:cstheme="majorBidi"/>
          <w:b/>
          <w:bCs/>
          <w:color w:val="365F91" w:themeColor="accent1" w:themeShade="BF"/>
          <w:sz w:val="28"/>
          <w:szCs w:val="28"/>
          <w:lang w:val="es-CR" w:eastAsia="es-CR"/>
        </w:rPr>
        <w:t>Recomendaciones</w:t>
      </w:r>
    </w:p>
    <w:p w:rsidR="00701756" w:rsidRDefault="00701756" w:rsidP="00B74528">
      <w:pPr>
        <w:pStyle w:val="Prrafodelista"/>
        <w:numPr>
          <w:ilvl w:val="0"/>
          <w:numId w:val="7"/>
        </w:numPr>
      </w:pPr>
      <w:r>
        <w:t>Se recomienda colocar bancos de corrección de potencia con el fin de mejorar la ca</w:t>
      </w:r>
      <w:r w:rsidR="00B74528">
        <w:t xml:space="preserve">lidad de energía eléctrica </w:t>
      </w:r>
      <w:r>
        <w:t xml:space="preserve">de los puntos </w:t>
      </w:r>
      <w:r w:rsidR="00B74528">
        <w:t>ya mencionados, con la finalidad de</w:t>
      </w:r>
      <w:r>
        <w:t xml:space="preserve"> reducir el deterioro de equipos, conductores, aislamiento, motores, etc.  </w:t>
      </w:r>
    </w:p>
    <w:p w:rsidR="00701756" w:rsidRDefault="00701756"/>
    <w:sectPr w:rsidR="00701756" w:rsidSect="00C809F5">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0A3"/>
    <w:multiLevelType w:val="hybridMultilevel"/>
    <w:tmpl w:val="A42E0E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FE57CC"/>
    <w:multiLevelType w:val="hybridMultilevel"/>
    <w:tmpl w:val="7A9E9042"/>
    <w:lvl w:ilvl="0" w:tplc="F29E3BFC">
      <w:start w:val="6"/>
      <w:numFmt w:val="bullet"/>
      <w:lvlText w:val="-"/>
      <w:lvlJc w:val="left"/>
      <w:pPr>
        <w:ind w:left="1365" w:hanging="360"/>
      </w:pPr>
      <w:rPr>
        <w:rFonts w:ascii="Calibri" w:eastAsiaTheme="minorHAnsi" w:hAnsi="Calibri" w:cs="Calibri" w:hint="default"/>
      </w:rPr>
    </w:lvl>
    <w:lvl w:ilvl="1" w:tplc="0C0A0003" w:tentative="1">
      <w:start w:val="1"/>
      <w:numFmt w:val="bullet"/>
      <w:lvlText w:val="o"/>
      <w:lvlJc w:val="left"/>
      <w:pPr>
        <w:ind w:left="2085" w:hanging="360"/>
      </w:pPr>
      <w:rPr>
        <w:rFonts w:ascii="Courier New" w:hAnsi="Courier New" w:cs="Courier New" w:hint="default"/>
      </w:rPr>
    </w:lvl>
    <w:lvl w:ilvl="2" w:tplc="0C0A0005" w:tentative="1">
      <w:start w:val="1"/>
      <w:numFmt w:val="bullet"/>
      <w:lvlText w:val=""/>
      <w:lvlJc w:val="left"/>
      <w:pPr>
        <w:ind w:left="2805" w:hanging="360"/>
      </w:pPr>
      <w:rPr>
        <w:rFonts w:ascii="Wingdings" w:hAnsi="Wingdings" w:hint="default"/>
      </w:rPr>
    </w:lvl>
    <w:lvl w:ilvl="3" w:tplc="0C0A0001" w:tentative="1">
      <w:start w:val="1"/>
      <w:numFmt w:val="bullet"/>
      <w:lvlText w:val=""/>
      <w:lvlJc w:val="left"/>
      <w:pPr>
        <w:ind w:left="3525" w:hanging="360"/>
      </w:pPr>
      <w:rPr>
        <w:rFonts w:ascii="Symbol" w:hAnsi="Symbol" w:hint="default"/>
      </w:rPr>
    </w:lvl>
    <w:lvl w:ilvl="4" w:tplc="0C0A0003" w:tentative="1">
      <w:start w:val="1"/>
      <w:numFmt w:val="bullet"/>
      <w:lvlText w:val="o"/>
      <w:lvlJc w:val="left"/>
      <w:pPr>
        <w:ind w:left="4245" w:hanging="360"/>
      </w:pPr>
      <w:rPr>
        <w:rFonts w:ascii="Courier New" w:hAnsi="Courier New" w:cs="Courier New" w:hint="default"/>
      </w:rPr>
    </w:lvl>
    <w:lvl w:ilvl="5" w:tplc="0C0A0005" w:tentative="1">
      <w:start w:val="1"/>
      <w:numFmt w:val="bullet"/>
      <w:lvlText w:val=""/>
      <w:lvlJc w:val="left"/>
      <w:pPr>
        <w:ind w:left="4965" w:hanging="360"/>
      </w:pPr>
      <w:rPr>
        <w:rFonts w:ascii="Wingdings" w:hAnsi="Wingdings" w:hint="default"/>
      </w:rPr>
    </w:lvl>
    <w:lvl w:ilvl="6" w:tplc="0C0A0001" w:tentative="1">
      <w:start w:val="1"/>
      <w:numFmt w:val="bullet"/>
      <w:lvlText w:val=""/>
      <w:lvlJc w:val="left"/>
      <w:pPr>
        <w:ind w:left="5685" w:hanging="360"/>
      </w:pPr>
      <w:rPr>
        <w:rFonts w:ascii="Symbol" w:hAnsi="Symbol" w:hint="default"/>
      </w:rPr>
    </w:lvl>
    <w:lvl w:ilvl="7" w:tplc="0C0A0003" w:tentative="1">
      <w:start w:val="1"/>
      <w:numFmt w:val="bullet"/>
      <w:lvlText w:val="o"/>
      <w:lvlJc w:val="left"/>
      <w:pPr>
        <w:ind w:left="6405" w:hanging="360"/>
      </w:pPr>
      <w:rPr>
        <w:rFonts w:ascii="Courier New" w:hAnsi="Courier New" w:cs="Courier New" w:hint="default"/>
      </w:rPr>
    </w:lvl>
    <w:lvl w:ilvl="8" w:tplc="0C0A0005" w:tentative="1">
      <w:start w:val="1"/>
      <w:numFmt w:val="bullet"/>
      <w:lvlText w:val=""/>
      <w:lvlJc w:val="left"/>
      <w:pPr>
        <w:ind w:left="7125" w:hanging="360"/>
      </w:pPr>
      <w:rPr>
        <w:rFonts w:ascii="Wingdings" w:hAnsi="Wingdings" w:hint="default"/>
      </w:rPr>
    </w:lvl>
  </w:abstractNum>
  <w:abstractNum w:abstractNumId="2">
    <w:nsid w:val="5D7D5AE9"/>
    <w:multiLevelType w:val="hybridMultilevel"/>
    <w:tmpl w:val="CB3069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7462DAE"/>
    <w:multiLevelType w:val="multilevel"/>
    <w:tmpl w:val="2A7058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6D0B07ED"/>
    <w:multiLevelType w:val="hybridMultilevel"/>
    <w:tmpl w:val="A42E0E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01F226C"/>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71103B32"/>
    <w:multiLevelType w:val="hybridMultilevel"/>
    <w:tmpl w:val="463866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spelling="clean" w:grammar="clean"/>
  <w:defaultTabStop w:val="708"/>
  <w:hyphenationZone w:val="425"/>
  <w:characterSpacingControl w:val="doNotCompress"/>
  <w:compat>
    <w:compatSetting w:name="compatibilityMode" w:uri="http://schemas.microsoft.com/office/word" w:val="12"/>
  </w:compat>
  <w:rsids>
    <w:rsidRoot w:val="00103DA4"/>
    <w:rsid w:val="00020574"/>
    <w:rsid w:val="00021FF7"/>
    <w:rsid w:val="00041C5B"/>
    <w:rsid w:val="00085C32"/>
    <w:rsid w:val="000A6AC9"/>
    <w:rsid w:val="000D2F4C"/>
    <w:rsid w:val="00103DA4"/>
    <w:rsid w:val="001167F5"/>
    <w:rsid w:val="0012115B"/>
    <w:rsid w:val="00126086"/>
    <w:rsid w:val="001318A8"/>
    <w:rsid w:val="001779D3"/>
    <w:rsid w:val="001D155B"/>
    <w:rsid w:val="00222A5C"/>
    <w:rsid w:val="0023244C"/>
    <w:rsid w:val="002472B2"/>
    <w:rsid w:val="002730F7"/>
    <w:rsid w:val="002B3E60"/>
    <w:rsid w:val="002D2924"/>
    <w:rsid w:val="002D7202"/>
    <w:rsid w:val="002E253D"/>
    <w:rsid w:val="00301AC8"/>
    <w:rsid w:val="00305309"/>
    <w:rsid w:val="00363982"/>
    <w:rsid w:val="003715E5"/>
    <w:rsid w:val="00384240"/>
    <w:rsid w:val="003A3751"/>
    <w:rsid w:val="0040219A"/>
    <w:rsid w:val="00433D64"/>
    <w:rsid w:val="00434FA0"/>
    <w:rsid w:val="0046469A"/>
    <w:rsid w:val="0047700D"/>
    <w:rsid w:val="004E37BD"/>
    <w:rsid w:val="0055773D"/>
    <w:rsid w:val="00597814"/>
    <w:rsid w:val="005B477A"/>
    <w:rsid w:val="005B57C8"/>
    <w:rsid w:val="00602383"/>
    <w:rsid w:val="006215F4"/>
    <w:rsid w:val="00622BB7"/>
    <w:rsid w:val="006508BF"/>
    <w:rsid w:val="00692605"/>
    <w:rsid w:val="006A0DA4"/>
    <w:rsid w:val="006A27D7"/>
    <w:rsid w:val="00701756"/>
    <w:rsid w:val="007410AE"/>
    <w:rsid w:val="0074448B"/>
    <w:rsid w:val="00765CC4"/>
    <w:rsid w:val="00766ADA"/>
    <w:rsid w:val="007A2353"/>
    <w:rsid w:val="007D6EBF"/>
    <w:rsid w:val="0082080F"/>
    <w:rsid w:val="00837E01"/>
    <w:rsid w:val="00840787"/>
    <w:rsid w:val="008A289D"/>
    <w:rsid w:val="008C0F9A"/>
    <w:rsid w:val="009051B4"/>
    <w:rsid w:val="009D1CDF"/>
    <w:rsid w:val="009E00CE"/>
    <w:rsid w:val="009E17F0"/>
    <w:rsid w:val="009F63D8"/>
    <w:rsid w:val="00A218D2"/>
    <w:rsid w:val="00A618B0"/>
    <w:rsid w:val="00A81D7F"/>
    <w:rsid w:val="00A83DF2"/>
    <w:rsid w:val="00AA7B02"/>
    <w:rsid w:val="00AB5DC2"/>
    <w:rsid w:val="00AB6EEA"/>
    <w:rsid w:val="00AD371E"/>
    <w:rsid w:val="00AF3776"/>
    <w:rsid w:val="00AF3CCE"/>
    <w:rsid w:val="00B06401"/>
    <w:rsid w:val="00B07297"/>
    <w:rsid w:val="00B153D5"/>
    <w:rsid w:val="00B3695B"/>
    <w:rsid w:val="00B74528"/>
    <w:rsid w:val="00BF6A05"/>
    <w:rsid w:val="00C06679"/>
    <w:rsid w:val="00C246A3"/>
    <w:rsid w:val="00C35296"/>
    <w:rsid w:val="00C809F5"/>
    <w:rsid w:val="00CD685B"/>
    <w:rsid w:val="00CF4222"/>
    <w:rsid w:val="00D155F1"/>
    <w:rsid w:val="00D269B0"/>
    <w:rsid w:val="00D90266"/>
    <w:rsid w:val="00DB1F2B"/>
    <w:rsid w:val="00DB4BBE"/>
    <w:rsid w:val="00DB5A1A"/>
    <w:rsid w:val="00DC62CD"/>
    <w:rsid w:val="00DE5ED8"/>
    <w:rsid w:val="00DF0DF2"/>
    <w:rsid w:val="00E02157"/>
    <w:rsid w:val="00E26B39"/>
    <w:rsid w:val="00E31CA0"/>
    <w:rsid w:val="00E47D9C"/>
    <w:rsid w:val="00E56466"/>
    <w:rsid w:val="00E5789A"/>
    <w:rsid w:val="00E66E37"/>
    <w:rsid w:val="00E73B71"/>
    <w:rsid w:val="00E77EDF"/>
    <w:rsid w:val="00EB7FDF"/>
    <w:rsid w:val="00EC6369"/>
    <w:rsid w:val="00ED495B"/>
    <w:rsid w:val="00EE0E75"/>
    <w:rsid w:val="00EF3D34"/>
    <w:rsid w:val="00F02AAD"/>
    <w:rsid w:val="00F10FBF"/>
    <w:rsid w:val="00F21F7B"/>
    <w:rsid w:val="00F31328"/>
    <w:rsid w:val="00F36E1D"/>
    <w:rsid w:val="00F55B6C"/>
    <w:rsid w:val="00F73912"/>
    <w:rsid w:val="00F77C52"/>
    <w:rsid w:val="00FA2C4E"/>
    <w:rsid w:val="00FA386A"/>
    <w:rsid w:val="00FA7F25"/>
    <w:rsid w:val="00FB4B67"/>
    <w:rsid w:val="00FD593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F2"/>
  </w:style>
  <w:style w:type="paragraph" w:styleId="Ttulo1">
    <w:name w:val="heading 1"/>
    <w:basedOn w:val="Normal"/>
    <w:next w:val="Normal"/>
    <w:link w:val="Ttulo1Car"/>
    <w:uiPriority w:val="9"/>
    <w:qFormat/>
    <w:rsid w:val="00A81D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uiPriority w:val="9"/>
    <w:unhideWhenUsed/>
    <w:qFormat/>
    <w:rsid w:val="00103DA4"/>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103DA4"/>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103DA4"/>
    <w:pPr>
      <w:ind w:left="720"/>
      <w:contextualSpacing/>
    </w:pPr>
  </w:style>
  <w:style w:type="paragraph" w:styleId="Epgrafe">
    <w:name w:val="caption"/>
    <w:basedOn w:val="Normal"/>
    <w:next w:val="Normal"/>
    <w:uiPriority w:val="35"/>
    <w:unhideWhenUsed/>
    <w:qFormat/>
    <w:rsid w:val="00103DA4"/>
    <w:pPr>
      <w:spacing w:after="200" w:line="240" w:lineRule="auto"/>
    </w:pPr>
    <w:rPr>
      <w:b/>
      <w:bCs/>
      <w:color w:val="4F81BD" w:themeColor="accent1"/>
      <w:sz w:val="18"/>
      <w:szCs w:val="18"/>
    </w:rPr>
  </w:style>
  <w:style w:type="paragraph" w:styleId="Textodeglobo">
    <w:name w:val="Balloon Text"/>
    <w:basedOn w:val="Normal"/>
    <w:link w:val="TextodegloboCar"/>
    <w:uiPriority w:val="99"/>
    <w:semiHidden/>
    <w:unhideWhenUsed/>
    <w:rsid w:val="00103D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3DA4"/>
    <w:rPr>
      <w:rFonts w:ascii="Tahoma" w:hAnsi="Tahoma" w:cs="Tahoma"/>
      <w:sz w:val="16"/>
      <w:szCs w:val="16"/>
    </w:rPr>
  </w:style>
  <w:style w:type="paragraph" w:styleId="NormalWeb">
    <w:name w:val="Normal (Web)"/>
    <w:basedOn w:val="Normal"/>
    <w:uiPriority w:val="99"/>
    <w:semiHidden/>
    <w:unhideWhenUsed/>
    <w:rsid w:val="00103DA4"/>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styleId="Textodelmarcadordeposicin">
    <w:name w:val="Placeholder Text"/>
    <w:basedOn w:val="Fuentedeprrafopredeter"/>
    <w:uiPriority w:val="99"/>
    <w:semiHidden/>
    <w:rsid w:val="00FA7F25"/>
    <w:rPr>
      <w:color w:val="808080"/>
    </w:rPr>
  </w:style>
  <w:style w:type="table" w:styleId="Tablaconcuadrcula">
    <w:name w:val="Table Grid"/>
    <w:basedOn w:val="Tablanormal"/>
    <w:uiPriority w:val="59"/>
    <w:rsid w:val="004646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A81D7F"/>
    <w:rPr>
      <w:rFonts w:asciiTheme="majorHAnsi" w:eastAsiaTheme="majorEastAsia" w:hAnsiTheme="majorHAnsi" w:cstheme="majorBidi"/>
      <w:b/>
      <w:bCs/>
      <w:color w:val="365F91" w:themeColor="accent1" w:themeShade="BF"/>
      <w:sz w:val="28"/>
      <w:szCs w:val="28"/>
    </w:rPr>
  </w:style>
  <w:style w:type="paragraph" w:styleId="Ttulo">
    <w:name w:val="Title"/>
    <w:basedOn w:val="Normal"/>
    <w:link w:val="TtuloCar"/>
    <w:qFormat/>
    <w:rsid w:val="00A81D7F"/>
    <w:pPr>
      <w:spacing w:after="0" w:line="240" w:lineRule="auto"/>
      <w:jc w:val="center"/>
    </w:pPr>
    <w:rPr>
      <w:rFonts w:ascii="Times New Roman" w:eastAsia="Times New Roman" w:hAnsi="Times New Roman" w:cs="Times New Roman"/>
      <w:smallCaps/>
      <w:color w:val="FF0000"/>
      <w:sz w:val="32"/>
      <w:szCs w:val="24"/>
      <w:lang w:val="es-CR" w:eastAsia="es-ES"/>
    </w:rPr>
  </w:style>
  <w:style w:type="character" w:customStyle="1" w:styleId="TtuloCar">
    <w:name w:val="Título Car"/>
    <w:basedOn w:val="Fuentedeprrafopredeter"/>
    <w:link w:val="Ttulo"/>
    <w:rsid w:val="00A81D7F"/>
    <w:rPr>
      <w:rFonts w:ascii="Times New Roman" w:eastAsia="Times New Roman" w:hAnsi="Times New Roman" w:cs="Times New Roman"/>
      <w:smallCaps/>
      <w:color w:val="FF0000"/>
      <w:sz w:val="32"/>
      <w:szCs w:val="24"/>
      <w:lang w:val="es-CR"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54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FE0ED92F34C384EAB07EBBB6F4E4150" ma:contentTypeVersion="6" ma:contentTypeDescription="Create a new document." ma:contentTypeScope="" ma:versionID="a9bade15abac41f48057f1a1cf0dad35">
  <xsd:schema xmlns:xsd="http://www.w3.org/2001/XMLSchema" xmlns:xs="http://www.w3.org/2001/XMLSchema" xmlns:p="http://schemas.microsoft.com/office/2006/metadata/properties" xmlns:ns2="7139fa7c-53df-4973-9fac-41f148953054" xmlns:ns3="a8da79d3-9614-4b65-9f0f-1bdf06bf176d" targetNamespace="http://schemas.microsoft.com/office/2006/metadata/properties" ma:root="true" ma:fieldsID="2162d68dce1cc6e28bb81e452d9d94b4" ns2:_="" ns3:_="">
    <xsd:import namespace="7139fa7c-53df-4973-9fac-41f148953054"/>
    <xsd:import namespace="a8da79d3-9614-4b65-9f0f-1bdf06bf17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39fa7c-53df-4973-9fac-41f148953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da79d3-9614-4b65-9f0f-1bdf06bf176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7A588F-13CF-4B6A-B86A-688AD19EB5DF}">
  <ds:schemaRefs>
    <ds:schemaRef ds:uri="http://schemas.openxmlformats.org/officeDocument/2006/bibliography"/>
  </ds:schemaRefs>
</ds:datastoreItem>
</file>

<file path=customXml/itemProps2.xml><?xml version="1.0" encoding="utf-8"?>
<ds:datastoreItem xmlns:ds="http://schemas.openxmlformats.org/officeDocument/2006/customXml" ds:itemID="{4DA03367-5F56-43E6-ACF6-E2B071F828C6}"/>
</file>

<file path=customXml/itemProps3.xml><?xml version="1.0" encoding="utf-8"?>
<ds:datastoreItem xmlns:ds="http://schemas.openxmlformats.org/officeDocument/2006/customXml" ds:itemID="{E1013746-E9F5-4E31-85CC-4C7520B99BBF}"/>
</file>

<file path=customXml/itemProps4.xml><?xml version="1.0" encoding="utf-8"?>
<ds:datastoreItem xmlns:ds="http://schemas.openxmlformats.org/officeDocument/2006/customXml" ds:itemID="{BBA03E46-900F-4BEB-871D-9D084BFBB3E0}"/>
</file>

<file path=docProps/app.xml><?xml version="1.0" encoding="utf-8"?>
<Properties xmlns="http://schemas.openxmlformats.org/officeDocument/2006/extended-properties" xmlns:vt="http://schemas.openxmlformats.org/officeDocument/2006/docPropsVTypes">
  <Template>Normal</Template>
  <TotalTime>379</TotalTime>
  <Pages>7</Pages>
  <Words>1300</Words>
  <Characters>7151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IJL</Company>
  <LinksUpToDate>false</LinksUpToDate>
  <CharactersWithSpaces>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dc:creator>
  <cp:keywords/>
  <dc:description/>
  <cp:lastModifiedBy>Rodolfo Navarro</cp:lastModifiedBy>
  <cp:revision>96</cp:revision>
  <cp:lastPrinted>2013-08-26T17:36:00Z</cp:lastPrinted>
  <dcterms:created xsi:type="dcterms:W3CDTF">2013-07-01T18:59:00Z</dcterms:created>
  <dcterms:modified xsi:type="dcterms:W3CDTF">2013-09-17T21:24:00Z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0x010100EFE0ED92F34C384EAB07EBBB6F4E4150</vt:lpwstr>
  </property>
</Properties>
</file>